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20B9A20" w14:textId="53DCB49E" w:rsidR="00794118" w:rsidRPr="00794118" w:rsidRDefault="00F636C2" w:rsidP="00847057">
      <w:pPr>
        <w:spacing w:after="0" w:line="240" w:lineRule="auto"/>
        <w:jc w:val="center"/>
        <w:rPr>
          <w:b/>
          <w:bCs/>
          <w:sz w:val="36"/>
          <w:szCs w:val="36"/>
        </w:rPr>
      </w:pPr>
      <w:r>
        <w:rPr>
          <w:b/>
          <w:bCs/>
          <w:sz w:val="36"/>
          <w:szCs w:val="36"/>
        </w:rPr>
        <w:t>Penatalaksanaan d</w:t>
      </w:r>
      <w:r w:rsidRPr="00794118">
        <w:rPr>
          <w:b/>
          <w:bCs/>
          <w:sz w:val="36"/>
          <w:szCs w:val="36"/>
        </w:rPr>
        <w:t>an Pember</w:t>
      </w:r>
      <w:r>
        <w:rPr>
          <w:b/>
          <w:bCs/>
          <w:sz w:val="36"/>
          <w:szCs w:val="36"/>
        </w:rPr>
        <w:t>ian Nutrisi pada Krisis Tiroid dengan HIV d</w:t>
      </w:r>
      <w:r w:rsidRPr="00794118">
        <w:rPr>
          <w:b/>
          <w:bCs/>
          <w:sz w:val="36"/>
          <w:szCs w:val="36"/>
        </w:rPr>
        <w:t>an Sirosis Hati : Sebuah Laporan Kasus</w:t>
      </w:r>
    </w:p>
    <w:p w14:paraId="3325FBFB" w14:textId="77777777" w:rsidR="001763D7" w:rsidRDefault="001763D7" w:rsidP="001763D7">
      <w:pPr>
        <w:spacing w:after="0" w:line="240" w:lineRule="auto"/>
        <w:rPr>
          <w:rFonts w:cs="Times New Roman"/>
        </w:rPr>
      </w:pPr>
    </w:p>
    <w:tbl>
      <w:tblPr>
        <w:tblStyle w:val="TableGrid"/>
        <w:tblW w:w="944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2335"/>
        <w:gridCol w:w="270"/>
        <w:gridCol w:w="6840"/>
      </w:tblGrid>
      <w:tr w:rsidR="001763D7" w:rsidRPr="00847057" w14:paraId="1554FB4B" w14:textId="77777777" w:rsidTr="00B21F17">
        <w:tc>
          <w:tcPr>
            <w:tcW w:w="2335" w:type="dxa"/>
          </w:tcPr>
          <w:p w14:paraId="5340904B" w14:textId="77777777" w:rsidR="001763D7" w:rsidRPr="00F636C2" w:rsidRDefault="00E44A40" w:rsidP="001763D7">
            <w:pPr>
              <w:jc w:val="right"/>
              <w:rPr>
                <w:rFonts w:cs="Times New Roman"/>
                <w:b/>
                <w:sz w:val="18"/>
                <w:szCs w:val="18"/>
              </w:rPr>
            </w:pPr>
            <w:r w:rsidRPr="00F636C2">
              <w:rPr>
                <w:rFonts w:cs="Times New Roman"/>
                <w:b/>
                <w:sz w:val="18"/>
                <w:szCs w:val="18"/>
              </w:rPr>
              <w:t>Penulis</w:t>
            </w:r>
            <w:r w:rsidR="001763D7" w:rsidRPr="00F636C2">
              <w:rPr>
                <w:rFonts w:cs="Times New Roman"/>
                <w:b/>
                <w:sz w:val="18"/>
                <w:szCs w:val="18"/>
              </w:rPr>
              <w:t>:</w:t>
            </w:r>
          </w:p>
          <w:p w14:paraId="1FE1A003" w14:textId="77777777" w:rsidR="00F636C2" w:rsidRPr="00F636C2" w:rsidRDefault="00F636C2" w:rsidP="00F636C2">
            <w:pPr>
              <w:jc w:val="right"/>
              <w:rPr>
                <w:rFonts w:cs="Times New Roman"/>
                <w:sz w:val="18"/>
                <w:szCs w:val="18"/>
              </w:rPr>
            </w:pPr>
            <w:r w:rsidRPr="00F636C2">
              <w:rPr>
                <w:rFonts w:cs="Times New Roman"/>
                <w:sz w:val="18"/>
                <w:szCs w:val="18"/>
              </w:rPr>
              <w:t>Henny Tannady Tan</w:t>
            </w:r>
            <w:r w:rsidRPr="00F636C2">
              <w:rPr>
                <w:rFonts w:cs="Times New Roman"/>
                <w:sz w:val="18"/>
                <w:szCs w:val="18"/>
                <w:vertAlign w:val="superscript"/>
              </w:rPr>
              <w:t>1</w:t>
            </w:r>
          </w:p>
          <w:p w14:paraId="2DC465BD" w14:textId="77777777" w:rsidR="00F636C2" w:rsidRPr="00F636C2" w:rsidRDefault="00F636C2" w:rsidP="00F636C2">
            <w:pPr>
              <w:jc w:val="right"/>
              <w:rPr>
                <w:rFonts w:cs="Times New Roman"/>
                <w:sz w:val="18"/>
                <w:szCs w:val="18"/>
              </w:rPr>
            </w:pPr>
            <w:r w:rsidRPr="00F636C2">
              <w:rPr>
                <w:rFonts w:cs="Times New Roman"/>
                <w:sz w:val="18"/>
                <w:szCs w:val="18"/>
              </w:rPr>
              <w:t>Helena Fabiani</w:t>
            </w:r>
            <w:r w:rsidRPr="00F636C2">
              <w:rPr>
                <w:rFonts w:cs="Times New Roman"/>
                <w:sz w:val="18"/>
                <w:szCs w:val="18"/>
                <w:vertAlign w:val="superscript"/>
              </w:rPr>
              <w:t>2</w:t>
            </w:r>
          </w:p>
          <w:p w14:paraId="61372C48" w14:textId="77777777" w:rsidR="00A2587B" w:rsidRPr="00F636C2" w:rsidRDefault="00A2587B" w:rsidP="001763D7">
            <w:pPr>
              <w:jc w:val="right"/>
              <w:rPr>
                <w:rFonts w:cs="Times New Roman"/>
                <w:sz w:val="18"/>
                <w:szCs w:val="18"/>
              </w:rPr>
            </w:pPr>
          </w:p>
          <w:p w14:paraId="1CAAA983" w14:textId="77777777" w:rsidR="001763D7" w:rsidRPr="00F636C2" w:rsidRDefault="00E44A40" w:rsidP="001763D7">
            <w:pPr>
              <w:jc w:val="right"/>
              <w:rPr>
                <w:rFonts w:cs="Times New Roman"/>
                <w:b/>
                <w:sz w:val="18"/>
                <w:szCs w:val="18"/>
              </w:rPr>
            </w:pPr>
            <w:r w:rsidRPr="00F636C2">
              <w:rPr>
                <w:rFonts w:cs="Times New Roman"/>
                <w:b/>
                <w:sz w:val="18"/>
                <w:szCs w:val="18"/>
              </w:rPr>
              <w:t>Afiliasi</w:t>
            </w:r>
            <w:r w:rsidR="001763D7" w:rsidRPr="00F636C2">
              <w:rPr>
                <w:rFonts w:cs="Times New Roman"/>
                <w:b/>
                <w:sz w:val="18"/>
                <w:szCs w:val="18"/>
              </w:rPr>
              <w:t>:</w:t>
            </w:r>
          </w:p>
          <w:p w14:paraId="3EEA309A" w14:textId="77777777" w:rsidR="00F636C2" w:rsidRPr="00F636C2" w:rsidRDefault="00F636C2" w:rsidP="00F636C2">
            <w:pPr>
              <w:jc w:val="right"/>
              <w:rPr>
                <w:sz w:val="18"/>
                <w:szCs w:val="18"/>
              </w:rPr>
            </w:pPr>
            <w:r w:rsidRPr="00F636C2">
              <w:rPr>
                <w:sz w:val="18"/>
                <w:szCs w:val="18"/>
              </w:rPr>
              <w:t>Departemen Ilmu Penyakit Dalam Fakultas Kedokteran &amp; Kesehatan Universitas Kristen Krida Wacana</w:t>
            </w:r>
            <w:r w:rsidRPr="00F636C2">
              <w:rPr>
                <w:rFonts w:cs="Times New Roman"/>
                <w:sz w:val="18"/>
                <w:szCs w:val="18"/>
                <w:vertAlign w:val="superscript"/>
              </w:rPr>
              <w:t>1</w:t>
            </w:r>
            <w:r w:rsidRPr="00F636C2">
              <w:rPr>
                <w:rFonts w:cs="Times New Roman"/>
                <w:sz w:val="18"/>
                <w:szCs w:val="18"/>
              </w:rPr>
              <w:t xml:space="preserve">, </w:t>
            </w:r>
            <w:r w:rsidRPr="00F636C2">
              <w:rPr>
                <w:sz w:val="18"/>
                <w:szCs w:val="18"/>
              </w:rPr>
              <w:t>Departemen Ilmu Gizi Fakultas Kedokteran &amp; Kesehatan Universitas Kristen Krida Wacana</w:t>
            </w:r>
            <w:r w:rsidRPr="00F636C2">
              <w:rPr>
                <w:rFonts w:cs="Times New Roman"/>
                <w:sz w:val="18"/>
                <w:szCs w:val="18"/>
                <w:vertAlign w:val="superscript"/>
              </w:rPr>
              <w:t>2</w:t>
            </w:r>
          </w:p>
          <w:p w14:paraId="5F1AF734" w14:textId="77777777" w:rsidR="001763D7" w:rsidRPr="00F636C2" w:rsidRDefault="001763D7" w:rsidP="001763D7">
            <w:pPr>
              <w:jc w:val="right"/>
              <w:rPr>
                <w:rFonts w:cs="Times New Roman"/>
                <w:b/>
                <w:sz w:val="18"/>
                <w:szCs w:val="18"/>
              </w:rPr>
            </w:pPr>
          </w:p>
          <w:p w14:paraId="288A5D55" w14:textId="77777777" w:rsidR="001763D7" w:rsidRPr="00F636C2" w:rsidRDefault="00E44A40" w:rsidP="001763D7">
            <w:pPr>
              <w:jc w:val="right"/>
              <w:rPr>
                <w:rFonts w:cs="Times New Roman"/>
                <w:b/>
                <w:sz w:val="18"/>
                <w:szCs w:val="18"/>
              </w:rPr>
            </w:pPr>
            <w:r w:rsidRPr="00F636C2">
              <w:rPr>
                <w:rFonts w:cs="Times New Roman"/>
                <w:b/>
                <w:sz w:val="18"/>
                <w:szCs w:val="18"/>
              </w:rPr>
              <w:t>Korespondensi:</w:t>
            </w:r>
          </w:p>
          <w:p w14:paraId="6957010D" w14:textId="77777777" w:rsidR="00F636C2" w:rsidRPr="00F636C2" w:rsidRDefault="00F636C2" w:rsidP="00F636C2">
            <w:pPr>
              <w:jc w:val="right"/>
              <w:rPr>
                <w:rFonts w:cs="Times New Roman"/>
                <w:sz w:val="18"/>
                <w:szCs w:val="18"/>
              </w:rPr>
            </w:pPr>
            <w:r w:rsidRPr="00F636C2">
              <w:rPr>
                <w:sz w:val="18"/>
                <w:szCs w:val="18"/>
              </w:rPr>
              <w:t>henny.tannady@ukrida.ac.id</w:t>
            </w:r>
          </w:p>
          <w:p w14:paraId="1DDE8933" w14:textId="77777777" w:rsidR="00A2587B" w:rsidRPr="00F636C2" w:rsidRDefault="00A2587B" w:rsidP="001763D7">
            <w:pPr>
              <w:jc w:val="right"/>
              <w:rPr>
                <w:rFonts w:cs="Times New Roman"/>
                <w:sz w:val="18"/>
                <w:szCs w:val="18"/>
              </w:rPr>
            </w:pPr>
          </w:p>
          <w:p w14:paraId="7D422BC3" w14:textId="77777777" w:rsidR="00A2587B" w:rsidRPr="00F636C2" w:rsidRDefault="00A2587B" w:rsidP="001763D7">
            <w:pPr>
              <w:jc w:val="right"/>
              <w:rPr>
                <w:rFonts w:cs="Times New Roman"/>
                <w:b/>
                <w:sz w:val="18"/>
                <w:szCs w:val="18"/>
              </w:rPr>
            </w:pPr>
            <w:r w:rsidRPr="00F636C2">
              <w:rPr>
                <w:rFonts w:cs="Times New Roman"/>
                <w:b/>
                <w:sz w:val="18"/>
                <w:szCs w:val="18"/>
              </w:rPr>
              <w:t>Histori Naskah:</w:t>
            </w:r>
          </w:p>
          <w:p w14:paraId="6E95C78E" w14:textId="260FC218" w:rsidR="00A2587B" w:rsidRPr="00F636C2" w:rsidRDefault="0036554B" w:rsidP="001763D7">
            <w:pPr>
              <w:jc w:val="right"/>
              <w:rPr>
                <w:rFonts w:cs="Times New Roman"/>
                <w:sz w:val="18"/>
                <w:szCs w:val="18"/>
              </w:rPr>
            </w:pPr>
            <w:r w:rsidRPr="00F636C2">
              <w:rPr>
                <w:rFonts w:cs="Times New Roman"/>
                <w:sz w:val="18"/>
                <w:szCs w:val="18"/>
              </w:rPr>
              <w:t>Diajukan</w:t>
            </w:r>
            <w:r w:rsidR="00A2587B" w:rsidRPr="00F636C2">
              <w:rPr>
                <w:rFonts w:cs="Times New Roman"/>
                <w:sz w:val="18"/>
                <w:szCs w:val="18"/>
              </w:rPr>
              <w:t xml:space="preserve">: </w:t>
            </w:r>
            <w:r w:rsidR="00847057" w:rsidRPr="00F636C2">
              <w:rPr>
                <w:rFonts w:cs="Times New Roman"/>
                <w:sz w:val="18"/>
                <w:szCs w:val="18"/>
              </w:rPr>
              <w:t>30-06-2025</w:t>
            </w:r>
          </w:p>
          <w:p w14:paraId="03158C33" w14:textId="75F9DE31" w:rsidR="00A2587B" w:rsidRPr="00F636C2" w:rsidRDefault="0036554B" w:rsidP="001763D7">
            <w:pPr>
              <w:jc w:val="right"/>
              <w:rPr>
                <w:rFonts w:cs="Times New Roman"/>
                <w:sz w:val="18"/>
                <w:szCs w:val="18"/>
              </w:rPr>
            </w:pPr>
            <w:r w:rsidRPr="00F636C2">
              <w:rPr>
                <w:rFonts w:cs="Times New Roman"/>
                <w:sz w:val="18"/>
                <w:szCs w:val="18"/>
              </w:rPr>
              <w:t>Disetujui</w:t>
            </w:r>
            <w:r w:rsidR="00A2587B" w:rsidRPr="00F636C2">
              <w:rPr>
                <w:rFonts w:cs="Times New Roman"/>
                <w:sz w:val="18"/>
                <w:szCs w:val="18"/>
              </w:rPr>
              <w:t xml:space="preserve">: </w:t>
            </w:r>
            <w:r w:rsidR="00847057" w:rsidRPr="00F636C2">
              <w:rPr>
                <w:rFonts w:cs="Times New Roman"/>
                <w:sz w:val="18"/>
                <w:szCs w:val="18"/>
              </w:rPr>
              <w:t>18-07-2025</w:t>
            </w:r>
          </w:p>
          <w:p w14:paraId="6CB02C82" w14:textId="6B9DB42F" w:rsidR="00A2587B" w:rsidRPr="00F636C2" w:rsidRDefault="0036554B" w:rsidP="00847057">
            <w:pPr>
              <w:jc w:val="right"/>
              <w:rPr>
                <w:rFonts w:cs="Times New Roman"/>
                <w:sz w:val="18"/>
                <w:szCs w:val="18"/>
              </w:rPr>
            </w:pPr>
            <w:r w:rsidRPr="00F636C2">
              <w:rPr>
                <w:rFonts w:cs="Times New Roman"/>
                <w:sz w:val="18"/>
                <w:szCs w:val="18"/>
              </w:rPr>
              <w:t>Publikasi</w:t>
            </w:r>
            <w:r w:rsidR="00A2587B" w:rsidRPr="00F636C2">
              <w:rPr>
                <w:rFonts w:cs="Times New Roman"/>
                <w:sz w:val="18"/>
                <w:szCs w:val="18"/>
              </w:rPr>
              <w:t xml:space="preserve">: </w:t>
            </w:r>
            <w:r w:rsidR="00847057" w:rsidRPr="00F636C2">
              <w:rPr>
                <w:rFonts w:cs="Times New Roman"/>
                <w:sz w:val="18"/>
                <w:szCs w:val="18"/>
              </w:rPr>
              <w:t>31-07</w:t>
            </w:r>
            <w:r w:rsidR="00A2587B" w:rsidRPr="00F636C2">
              <w:rPr>
                <w:rFonts w:cs="Times New Roman"/>
                <w:sz w:val="18"/>
                <w:szCs w:val="18"/>
              </w:rPr>
              <w:t>-</w:t>
            </w:r>
            <w:r w:rsidR="00847057" w:rsidRPr="00F636C2">
              <w:rPr>
                <w:rFonts w:cs="Times New Roman"/>
                <w:sz w:val="18"/>
                <w:szCs w:val="18"/>
              </w:rPr>
              <w:t>2025</w:t>
            </w:r>
          </w:p>
        </w:tc>
        <w:tc>
          <w:tcPr>
            <w:tcW w:w="270" w:type="dxa"/>
          </w:tcPr>
          <w:p w14:paraId="3DA868F8" w14:textId="77777777" w:rsidR="001763D7" w:rsidRPr="00F636C2" w:rsidRDefault="001763D7" w:rsidP="001763D7">
            <w:pPr>
              <w:rPr>
                <w:rFonts w:cs="Times New Roman"/>
                <w:b/>
                <w:sz w:val="18"/>
                <w:szCs w:val="18"/>
              </w:rPr>
            </w:pPr>
          </w:p>
        </w:tc>
        <w:tc>
          <w:tcPr>
            <w:tcW w:w="6840" w:type="dxa"/>
            <w:shd w:val="clear" w:color="auto" w:fill="FFFFFF" w:themeFill="background1"/>
          </w:tcPr>
          <w:p w14:paraId="00CFD8AD" w14:textId="77777777" w:rsidR="00664AE0" w:rsidRPr="00847057" w:rsidRDefault="001763D7" w:rsidP="00664AE0">
            <w:pPr>
              <w:rPr>
                <w:rFonts w:cs="Times New Roman"/>
                <w:sz w:val="18"/>
                <w:szCs w:val="18"/>
              </w:rPr>
            </w:pPr>
            <w:r w:rsidRPr="00847057">
              <w:rPr>
                <w:rFonts w:cs="Times New Roman"/>
                <w:b/>
                <w:sz w:val="18"/>
                <w:szCs w:val="18"/>
              </w:rPr>
              <w:t>Abstrak</w:t>
            </w:r>
            <w:r w:rsidRPr="00847057">
              <w:rPr>
                <w:rFonts w:cs="Times New Roman"/>
                <w:sz w:val="18"/>
                <w:szCs w:val="18"/>
              </w:rPr>
              <w:t xml:space="preserve">: </w:t>
            </w:r>
          </w:p>
          <w:p w14:paraId="2C72C65E" w14:textId="77777777" w:rsidR="00794118" w:rsidRPr="00847057" w:rsidRDefault="00794118" w:rsidP="00A93296">
            <w:pPr>
              <w:rPr>
                <w:sz w:val="18"/>
                <w:szCs w:val="18"/>
              </w:rPr>
            </w:pPr>
            <w:r w:rsidRPr="00847057">
              <w:rPr>
                <w:sz w:val="18"/>
                <w:szCs w:val="18"/>
              </w:rPr>
              <w:t xml:space="preserve">Abnormalitas fungsi tiroid banyak terjadi pada pasien dengan HIV. Infeksi HIV mempengaruhi fungsi hormon tiroid melalui perubahan metabolisme, penurunan asupan nutrisi dan peningkatan penurunan berat badan. Terapi dengan Anti Retroviral Terapi (ART) dan </w:t>
            </w:r>
            <w:r w:rsidRPr="00847057">
              <w:rPr>
                <w:i/>
                <w:iCs/>
                <w:sz w:val="18"/>
                <w:szCs w:val="18"/>
              </w:rPr>
              <w:t>Immune Reconstitution Inflammatory Syndrome</w:t>
            </w:r>
            <w:r w:rsidRPr="00847057">
              <w:rPr>
                <w:sz w:val="18"/>
                <w:szCs w:val="18"/>
              </w:rPr>
              <w:t xml:space="preserve"> (IRIS) turut mempengaruhi fungsi hormon tiroid. Hipertiroid merupakan abnormalitas hormon tiroid yang paling jarang terjadi pada pasien dengan HIV. Pada laporan kasus ini kami melaporkan mengenai kejadian krisis tiroid pada seorang pria usia 30 tahun dengan komorbid HIV dan sirosis hati. Seorang pria usia 30 tahun datang dengan keluhan berdebar-debar sejak 1 bulan terakhir. Ia memiliki riwayat penyakit HIV dan sirosis hati akibat alkohol. Pada pemeriksaan lebih lanjut terdapat peningkatan hasil TRAb. Penatalaksanaan hipertiroid pada pasien dengan HIV tidak berbeda dengan populasi umum namun pasien ini terdapat penyulit lain yaitu Sirosis Hati. Selain medikamentosa, pemberian nutrisi turut menunjang penatalaksanaan pasien ini. </w:t>
            </w:r>
          </w:p>
          <w:p w14:paraId="1FA515C2" w14:textId="77777777" w:rsidR="000E2CF5" w:rsidRPr="00847057" w:rsidRDefault="000E2CF5" w:rsidP="009E5B3A">
            <w:pPr>
              <w:rPr>
                <w:rFonts w:cs="Times New Roman"/>
                <w:sz w:val="18"/>
                <w:szCs w:val="18"/>
              </w:rPr>
            </w:pPr>
          </w:p>
          <w:p w14:paraId="1B4085AD" w14:textId="7E6B28BF" w:rsidR="001763D7" w:rsidRPr="00847057" w:rsidRDefault="001763D7" w:rsidP="001763D7">
            <w:pPr>
              <w:rPr>
                <w:rFonts w:cs="Times New Roman"/>
                <w:sz w:val="18"/>
                <w:szCs w:val="18"/>
              </w:rPr>
            </w:pPr>
            <w:r w:rsidRPr="00847057">
              <w:rPr>
                <w:rFonts w:cs="Times New Roman"/>
                <w:b/>
                <w:sz w:val="18"/>
                <w:szCs w:val="18"/>
              </w:rPr>
              <w:t>Kata kunci</w:t>
            </w:r>
            <w:r w:rsidRPr="00847057">
              <w:rPr>
                <w:rFonts w:cs="Times New Roman"/>
                <w:sz w:val="18"/>
                <w:szCs w:val="18"/>
              </w:rPr>
              <w:t xml:space="preserve">: </w:t>
            </w:r>
            <w:r w:rsidR="00847057">
              <w:rPr>
                <w:rFonts w:cs="Times New Roman"/>
                <w:sz w:val="18"/>
                <w:szCs w:val="18"/>
              </w:rPr>
              <w:t>G</w:t>
            </w:r>
            <w:r w:rsidR="00A93296" w:rsidRPr="00847057">
              <w:rPr>
                <w:rFonts w:cs="Times New Roman"/>
                <w:sz w:val="18"/>
                <w:szCs w:val="18"/>
              </w:rPr>
              <w:t xml:space="preserve">raves , </w:t>
            </w:r>
            <w:r w:rsidR="00847057">
              <w:rPr>
                <w:sz w:val="18"/>
                <w:szCs w:val="18"/>
              </w:rPr>
              <w:t xml:space="preserve">Hipertiroid, HIV, </w:t>
            </w:r>
            <w:r w:rsidR="00794118" w:rsidRPr="00847057">
              <w:rPr>
                <w:sz w:val="18"/>
                <w:szCs w:val="18"/>
              </w:rPr>
              <w:t>sirosis</w:t>
            </w:r>
          </w:p>
        </w:tc>
        <w:bookmarkStart w:id="0" w:name="_GoBack"/>
        <w:bookmarkEnd w:id="0"/>
      </w:tr>
    </w:tbl>
    <w:p w14:paraId="78391D9F" w14:textId="77777777" w:rsidR="001763D7" w:rsidRPr="00847057" w:rsidRDefault="001763D7" w:rsidP="001763D7">
      <w:pPr>
        <w:pBdr>
          <w:bottom w:val="single" w:sz="6" w:space="1" w:color="auto"/>
        </w:pBdr>
        <w:spacing w:after="0" w:line="240" w:lineRule="auto"/>
        <w:rPr>
          <w:rFonts w:cs="Times New Roman"/>
          <w:sz w:val="18"/>
          <w:szCs w:val="18"/>
        </w:rPr>
      </w:pPr>
    </w:p>
    <w:p w14:paraId="42325180" w14:textId="77777777" w:rsidR="00687F8B" w:rsidRPr="00687F8B" w:rsidRDefault="00687F8B" w:rsidP="00687F8B">
      <w:pPr>
        <w:spacing w:before="100" w:beforeAutospacing="1" w:after="100" w:afterAutospacing="1" w:line="240" w:lineRule="auto"/>
        <w:jc w:val="left"/>
        <w:rPr>
          <w:rFonts w:eastAsia="Times New Roman" w:cs="Times New Roman"/>
          <w:sz w:val="24"/>
          <w:szCs w:val="24"/>
          <w:lang w:val="en-ID" w:eastAsia="en-ID"/>
        </w:rPr>
      </w:pPr>
      <w:r w:rsidRPr="00687F8B">
        <w:rPr>
          <w:rFonts w:eastAsia="Times New Roman" w:cs="Times New Roman"/>
          <w:b/>
          <w:bCs/>
          <w:sz w:val="24"/>
          <w:szCs w:val="24"/>
          <w:lang w:val="en-ID" w:eastAsia="en-ID"/>
        </w:rPr>
        <w:t>PENDAHULUAN</w:t>
      </w:r>
    </w:p>
    <w:p w14:paraId="673E4138" w14:textId="77777777" w:rsidR="00794118" w:rsidRDefault="00794118" w:rsidP="00794118">
      <w:pPr>
        <w:spacing w:after="0" w:line="240" w:lineRule="auto"/>
        <w:ind w:firstLine="720"/>
        <w:rPr>
          <w:sz w:val="24"/>
          <w:szCs w:val="24"/>
        </w:rPr>
      </w:pPr>
      <w:r w:rsidRPr="00794118">
        <w:rPr>
          <w:sz w:val="24"/>
          <w:szCs w:val="24"/>
        </w:rPr>
        <w:t xml:space="preserve">Secara global terdapat 39.9 juta kasus </w:t>
      </w:r>
      <w:r w:rsidRPr="00794118">
        <w:rPr>
          <w:i/>
          <w:iCs/>
          <w:sz w:val="24"/>
          <w:szCs w:val="24"/>
        </w:rPr>
        <w:t>Human Immunodeficiency Virus</w:t>
      </w:r>
      <w:r w:rsidRPr="00794118">
        <w:rPr>
          <w:sz w:val="24"/>
          <w:szCs w:val="24"/>
        </w:rPr>
        <w:t xml:space="preserve"> (HIV) pada tahun 2023 berdasarkan data dari UNAIDS </w:t>
      </w:r>
      <w:r w:rsidRPr="00794118">
        <w:rPr>
          <w:sz w:val="24"/>
          <w:szCs w:val="24"/>
        </w:rPr>
        <w:fldChar w:fldCharType="begin" w:fldLock="1"/>
      </w:r>
      <w:r w:rsidRPr="00794118">
        <w:rPr>
          <w:sz w:val="24"/>
          <w:szCs w:val="24"/>
        </w:rPr>
        <w:instrText>ADDIN CSL_CITATION {"citationItems":[{"id":"ITEM-1","itemData":{"abstract":"</w:instrText>
      </w:r>
      <w:r w:rsidRPr="00794118">
        <w:rPr>
          <w:sz w:val="24"/>
          <w:szCs w:val="24"/>
        </w:rPr>
        <w:instrText xml:space="preserve"> 39.9 million [36.1 million-44.6 million] people globally were living with HIV in 2023. </w:instrText>
      </w:r>
      <w:r w:rsidRPr="00794118">
        <w:rPr>
          <w:sz w:val="24"/>
          <w:szCs w:val="24"/>
        </w:rPr>
        <w:instrText xml:space="preserve"> 1.3 million [1 million-1.7 million] people became newly infected with HIV in 2023. </w:instrText>
      </w:r>
      <w:r w:rsidRPr="00794118">
        <w:rPr>
          <w:sz w:val="24"/>
          <w:szCs w:val="24"/>
        </w:rPr>
        <w:instrText xml:space="preserve"> 630 000 [500 000-820 000] people died from AIDS-related illnesses in 2023. </w:instrText>
      </w:r>
      <w:r w:rsidRPr="00794118">
        <w:rPr>
          <w:sz w:val="24"/>
          <w:szCs w:val="24"/>
        </w:rPr>
        <w:instrText xml:space="preserve"> 30.7 million people [27-31.9 million] were accessing antiretroviral therapy in 2023. </w:instrText>
      </w:r>
      <w:r w:rsidRPr="00794118">
        <w:rPr>
          <w:sz w:val="24"/>
          <w:szCs w:val="24"/>
        </w:rPr>
        <w:instrText xml:space="preserve"> 88.4 million [71.3 million-112.8 million] people have become infected with HIV since the start of the epidemic. </w:instrText>
      </w:r>
      <w:r w:rsidRPr="00794118">
        <w:rPr>
          <w:sz w:val="24"/>
          <w:szCs w:val="24"/>
        </w:rPr>
        <w:instrText xml:space="preserve"> 42.3 million [35.7 million-51.1 million] people have died from AIDS-related illnesses since the start of the epidemic. People living with HIV </w:instrText>
      </w:r>
      <w:r w:rsidRPr="00794118">
        <w:rPr>
          <w:sz w:val="24"/>
          <w:szCs w:val="24"/>
        </w:rPr>
        <w:instrText xml:space="preserve"> In 2023, there were 39.9 million [36.1 million-44.6 million] people living with HIV.-38.6 million [34.9 million-43.1 million] adults (15 years or older).-1.4 million [1.1 million-1.7 million] children (0-14 years).-53% of all people living with HIV were women and girls. </w:instrText>
      </w:r>
      <w:r w:rsidRPr="00794118">
        <w:rPr>
          <w:sz w:val="24"/>
          <w:szCs w:val="24"/>
        </w:rPr>
        <w:instrText xml:space="preserve"> 86% [69-&gt;98%] of all people living with HIV knew their HIV status in 2023. </w:instrText>
      </w:r>
      <w:r w:rsidRPr="00794118">
        <w:rPr>
          <w:sz w:val="24"/>
          <w:szCs w:val="24"/>
        </w:rPr>
        <w:instrText xml:space="preserve"> About 5.4 million people did not know that they were living with HIV in 2023. People living with HIV accessing antiretroviral therapy </w:instrText>
      </w:r>
      <w:r w:rsidRPr="00794118">
        <w:rPr>
          <w:sz w:val="24"/>
          <w:szCs w:val="24"/>
        </w:rPr>
        <w:instrText xml:space="preserve"> At the end of December 2023, 30.7 million [27-31.9 million] people were accessing antiretroviral therapy, up from 7.7 million [6.7-8 million] in 2010, but still short of the 34 million target for 2025. </w:instrText>
      </w:r>
      <w:r w:rsidRPr="00794118">
        <w:rPr>
          <w:sz w:val="24"/>
          <w:szCs w:val="24"/>
        </w:rPr>
        <w:instrText xml:space="preserve"> In 2023, 77% [61-89%] of all people living with HIV were accessing treatment.-77% [62-90%] of adults aged 15 years and older living with HIV had access to treatment, as did 57% [41-75%] of children aged 0-14 years.-83% [66-96%] of women aged 15 years and older had access to treatment; however, just 72% [56-84%] of men aged 15 years and older had access. </w:instrText>
      </w:r>
      <w:r w:rsidRPr="00794118">
        <w:rPr>
          <w:sz w:val="24"/>
          <w:szCs w:val="24"/>
        </w:rPr>
        <w:instrText> 84% [72-&gt;98%] of pregnant women living with HIV had access to antiretroviral medicines to prevent transmission of HIV to their child in 2023.","author":[{"dropping-particle":"","family":"Joint United Nations Programme on HIV/AIDS (UNAIDS)","given":"","non-dropping-particle":"","parse-names":false,"suffix":""}],"id":"ITEM-1","issued":{"date-parts":[["2024"]]},"title":"Fact sheet 2024 - Latest global and regional HIV statistics on the status of the AIDS epidemic","type":"article-journal"},"uris":["http://www.mendeley.com/documents/?uuid=30b36c48-84af-4cf7-afd4-111391c6eb5e"]}],"mendeley":{"formattedCitation":"(Joint United Nations Programme on HIV/AIDS (UNAIDS) 2024)","plainTextFormattedCitation":"(Joint United Nations Programme on HIV/AIDS (UNAIDS) 2024)","previouslyFormattedCitation":"(Joint United Nations Programme on HIV/AIDS (UNAIDS) 2024)"},"properties":{"noteIndex":0},"schema":"https://github.com/citation-style-language/schema/raw/master/csl-citation.json"}</w:instrText>
      </w:r>
      <w:r w:rsidRPr="00794118">
        <w:rPr>
          <w:sz w:val="24"/>
          <w:szCs w:val="24"/>
        </w:rPr>
        <w:fldChar w:fldCharType="separate"/>
      </w:r>
      <w:r w:rsidRPr="00794118">
        <w:rPr>
          <w:noProof/>
          <w:sz w:val="24"/>
          <w:szCs w:val="24"/>
        </w:rPr>
        <w:t>(Joint United Nations Programme on HIV/AIDS (UNAIDS) 2024)</w:t>
      </w:r>
      <w:r w:rsidRPr="00794118">
        <w:rPr>
          <w:sz w:val="24"/>
          <w:szCs w:val="24"/>
        </w:rPr>
        <w:fldChar w:fldCharType="end"/>
      </w:r>
      <w:r w:rsidRPr="00794118">
        <w:rPr>
          <w:sz w:val="24"/>
          <w:szCs w:val="24"/>
        </w:rPr>
        <w:t xml:space="preserve">. Abnormalitas fungsi tiroid banyak terjadi pada pasien dengan HIV </w:t>
      </w:r>
      <w:r w:rsidRPr="00794118">
        <w:rPr>
          <w:sz w:val="24"/>
          <w:szCs w:val="24"/>
        </w:rPr>
        <w:fldChar w:fldCharType="begin" w:fldLock="1"/>
      </w:r>
      <w:r w:rsidRPr="00794118">
        <w:rPr>
          <w:sz w:val="24"/>
          <w:szCs w:val="24"/>
        </w:rPr>
        <w:instrText>ADDIN CSL_CITATION {"citationItems":[{"id":"ITEM-1","itemData":{"DOI":"10.21037/aot.2019.07.01","ISSN":"25226681","abstract":"Abnormal thyroid functions are common among individuals living with human immunodeficiency virus (HIV). Potent antiretroviral therapy can induce abnormalities in thyroid function or it can be related to drug interactions and the immune reconstitution inflammatory syndrome (IRIS). Increasing prevalence of thyroid dysfunction has been reported in individuals living with HIV (LWHIV). However, there is insufficient evidence to recommend routine thyroid screening of asymptomatic individuals. Hence, in this review we report the common thyroid dysfunctions associated with HIV and in association of anti-retroviral therapy (ART); after critical review of PubMed and Google scholar published-English literature since 1996. HIV can be associated with hypothyroidism, hyperthyroidism and also may increase the risk of thyroid cancer. Emerging evidence also showed that in well treated individuals LWHIV, thyroid function may not be affected by HIV. Therefore, it is a good clinical practice to screen for thyroid function once every 12-24 months. Currently there is little research about the impact of aging in thyroid function in individuals living with HIV. Further research is also needed to establish the value and interval of regular screening of thyroid function in individuals living with HIV.","author":[{"dropping-particle":"","family":"Ibrahim","given":"Maryam","non-dropping-particle":"","parse-names":false,"suffix":""},{"dropping-particle":"","family":"Adeniran","given":"Anjola","non-dropping-particle":"","parse-names":false,"suffix":""},{"dropping-particle":"","family":"Ibrahim","given":"Mariam A.","non-dropping-particle":"","parse-names":false,"suffix":""},{"dropping-particle":"","family":"Woodward","given":"Clare","non-dropping-particle":"","parse-names":false,"suffix":""},{"dropping-particle":"","family":"Mital","given":"Dushyant","non-dropping-particle":"","parse-names":false,"suffix":""},{"dropping-particle":"","family":"Ahmed","given":"Mohamed H.","non-dropping-particle":"","parse-names":false,"suffix":""}],"container-title":"Annals of Thyroid","id":"ITEM-1","issue":"4","issued":{"date-parts":[["2019"]]},"page":"3-10","title":"Thyroid function in individuals living with human immunodeficiency virus: the concern and debate about regular screening","type":"article-journal"},"uris":["http://www.mendeley.com/documents/?uuid=c0dc5a5e-9e7a-42d7-8e88-74dfca8581f3"]}],"mendeley":{"formattedCitation":"(Ibrahim et al. 2019)","plainTextFormattedCitation":"(Ibrahim et al. 2019)","previouslyFormattedCitation":"(Ibrahim et al. 2019)"},"properties":{"noteIndex":0},"schema":"https://github.com/citation-style-language/schema/raw/master/csl-citation.json"}</w:instrText>
      </w:r>
      <w:r w:rsidRPr="00794118">
        <w:rPr>
          <w:sz w:val="24"/>
          <w:szCs w:val="24"/>
        </w:rPr>
        <w:fldChar w:fldCharType="separate"/>
      </w:r>
      <w:r w:rsidRPr="00794118">
        <w:rPr>
          <w:noProof/>
          <w:sz w:val="24"/>
          <w:szCs w:val="24"/>
        </w:rPr>
        <w:t>(Ibrahim et al. 2019)</w:t>
      </w:r>
      <w:r w:rsidRPr="00794118">
        <w:rPr>
          <w:sz w:val="24"/>
          <w:szCs w:val="24"/>
        </w:rPr>
        <w:fldChar w:fldCharType="end"/>
      </w:r>
      <w:r w:rsidRPr="00794118">
        <w:rPr>
          <w:sz w:val="24"/>
          <w:szCs w:val="24"/>
        </w:rPr>
        <w:t xml:space="preserve">.  Hormon tiroid merupakan regulator penting pada metabolisme tubuh dan dipengaruhi oleh infeksi HIV. Infeksi HIV mempengaruhi fungsi hormon tiroid melalui perubahan metabolisme, penurunan asupan nutrisi dan peningkatan penurunan berat badan. Terapi dengan Anti Retroviral Terapi (ART) dan </w:t>
      </w:r>
      <w:r w:rsidRPr="00794118">
        <w:rPr>
          <w:i/>
          <w:iCs/>
          <w:sz w:val="24"/>
          <w:szCs w:val="24"/>
        </w:rPr>
        <w:t>Immune Reconstitution Inflammatory Syndrome</w:t>
      </w:r>
      <w:r w:rsidRPr="00794118">
        <w:rPr>
          <w:sz w:val="24"/>
          <w:szCs w:val="24"/>
        </w:rPr>
        <w:t xml:space="preserve"> (IRIS) turut mempengaruhi fungsi hormon tiroid </w:t>
      </w:r>
      <w:r w:rsidRPr="00794118">
        <w:rPr>
          <w:sz w:val="24"/>
          <w:szCs w:val="24"/>
        </w:rPr>
        <w:fldChar w:fldCharType="begin" w:fldLock="1"/>
      </w:r>
      <w:r w:rsidRPr="00794118">
        <w:rPr>
          <w:sz w:val="24"/>
          <w:szCs w:val="24"/>
        </w:rPr>
        <w:instrText>ADDIN CSL_CITATION {"citationItems":[{"id":"ITEM-1","itemData":{"author":[{"dropping-particle":"","family":"Parsa","given":"Alan A.","non-dropping-particle":"","parse-names":false,"suffix":""},{"dropping-particle":"","family":"Bhangoo","given":"Amrit","non-dropping-particle":"","parse-names":false,"suffix":""}],"container-title":"Reviews in Endocrine and Metabolic Disorders","id":"ITEM-1","issued":{"date-parts":[["2013"]]},"page":"127-131","title":"HIV and thyroid dysfunction","type":"article-journal","volume":"14"},"uris":["http://www.mendeley.com/documents/?uuid=2c15f2dd-24b7-4f5d-94d1-bff64d1246cf"]}],"mendeley":{"formattedCitation":"(Parsa and Bhangoo 2013)","plainTextFormattedCitation":"(Parsa and Bhangoo 2013)","previouslyFormattedCitation":"(Parsa and Bhangoo 2013)"},"properties":{"noteIndex":0},"schema":"https://github.com/citation-style-language/schema/raw/master/csl-citation.json"}</w:instrText>
      </w:r>
      <w:r w:rsidRPr="00794118">
        <w:rPr>
          <w:sz w:val="24"/>
          <w:szCs w:val="24"/>
        </w:rPr>
        <w:fldChar w:fldCharType="separate"/>
      </w:r>
      <w:r w:rsidRPr="00794118">
        <w:rPr>
          <w:noProof/>
          <w:sz w:val="24"/>
          <w:szCs w:val="24"/>
        </w:rPr>
        <w:t>(Parsa and Bhangoo 2013)</w:t>
      </w:r>
      <w:r w:rsidRPr="00794118">
        <w:rPr>
          <w:sz w:val="24"/>
          <w:szCs w:val="24"/>
        </w:rPr>
        <w:fldChar w:fldCharType="end"/>
      </w:r>
      <w:r w:rsidRPr="00794118">
        <w:rPr>
          <w:sz w:val="24"/>
          <w:szCs w:val="24"/>
        </w:rPr>
        <w:t xml:space="preserve">. Beberapa studi melaporkan insiden kelainan tiroid meningkat pada pasien dengan HIV dibandingkan dengan populasi umum yaitu sebesar 36-37% </w:t>
      </w:r>
      <w:r w:rsidRPr="00794118">
        <w:rPr>
          <w:sz w:val="24"/>
          <w:szCs w:val="24"/>
        </w:rPr>
        <w:fldChar w:fldCharType="begin" w:fldLock="1"/>
      </w:r>
      <w:r w:rsidRPr="00794118">
        <w:rPr>
          <w:sz w:val="24"/>
          <w:szCs w:val="24"/>
        </w:rPr>
        <w:instrText>ADDIN CSL_CITATION {"citationItems":[{"id":"ITEM-1","itemData":{"author":[{"dropping-particle":"","family":"Silva","given":"G. A.","non-dropping-particle":"","parse-names":false,"suffix":""},{"dropping-particle":"","family":"Andrade","given":"M. C.","non-dropping-particle":"","parse-names":false,"suffix":""},{"dropping-particle":"","family":"D","given":"A. Sugui","non-dropping-particle":"","parse-names":false,"suffix":""}],"container-title":"Archives of Endocrinology and Metabolism","id":"ITEM-1","issue":"2","issued":{"date-parts":[["2015"]]},"page":"116-122","title":"Association between antiretrovirals and thyroid diseases: a cross-sectional study","type":"article-journal","volume":"59"},"uris":["http://www.mendeley.com/documents/?uuid=2b19347e-4e99-48f3-8b08-ccccd5a9bbb6"]},{"id":"ITEM-2","itemData":{"author":[{"dropping-particle":"","family":"C.J.Hoffmann","given":"","non-dropping-particle":"","parse-names":false,"suffix":""},{"dropping-particle":"","family":"T.T.Brown","given":"","non-dropping-particle":"","parse-names":false,"suffix":""}],"container-title":"Clinical Infectious Diseases","id":"ITEM-2","issue":"4","issued":{"date-parts":[["2007"]]},"page":"488-494","title":"Thyroid function abnormal ities in HIV-infected patients","type":"article-journal","volume":"45"},"uris":["http://www.mendeley.com/documents/?uuid=ee2c3597-2038-47be-90ae-3da1579c56a9"]}],"mendeley":{"formattedCitation":"(C.J.Hoffmann and T.T.Brown 2007; Silva, Andrade, and D 2015)","plainTextFormattedCitation":"(C.J.Hoffmann and T.T.Brown 2007; Silva, Andrade, and D 2015)","previouslyFormattedCitation":"(C.J.Hoffmann and T.T.Brown 2007; Silva, Andrade, and D 2015)"},"properties":{"noteIndex":0},"schema":"https://github.com/citation-style-language/schema/raw/master/csl-citation.json"}</w:instrText>
      </w:r>
      <w:r w:rsidRPr="00794118">
        <w:rPr>
          <w:sz w:val="24"/>
          <w:szCs w:val="24"/>
        </w:rPr>
        <w:fldChar w:fldCharType="separate"/>
      </w:r>
      <w:r w:rsidRPr="00794118">
        <w:rPr>
          <w:noProof/>
          <w:sz w:val="24"/>
          <w:szCs w:val="24"/>
        </w:rPr>
        <w:t>(C.J.Hoffmann and T.T.Brown 2007; Silva, Andrade, and D 2015)</w:t>
      </w:r>
      <w:r w:rsidRPr="00794118">
        <w:rPr>
          <w:sz w:val="24"/>
          <w:szCs w:val="24"/>
        </w:rPr>
        <w:fldChar w:fldCharType="end"/>
      </w:r>
      <w:r w:rsidRPr="00794118">
        <w:rPr>
          <w:sz w:val="24"/>
          <w:szCs w:val="24"/>
        </w:rPr>
        <w:t xml:space="preserve">. Hipotiroid subklinis merupakan abnormalitas fungsi tiroid yang paling sering terjadi pada pasien dengan HIV yaitu sebesar 53% </w:t>
      </w:r>
      <w:r w:rsidRPr="00794118">
        <w:rPr>
          <w:sz w:val="24"/>
          <w:szCs w:val="24"/>
        </w:rPr>
        <w:fldChar w:fldCharType="begin" w:fldLock="1"/>
      </w:r>
      <w:r w:rsidRPr="00794118">
        <w:rPr>
          <w:sz w:val="24"/>
          <w:szCs w:val="24"/>
        </w:rPr>
        <w:instrText>ADDIN CSL_CITATION {"citationItems":[{"id":"ITEM-1","itemData":{"author":[{"dropping-particle":"","family":"Weinberg","given":"Melissa","non-dropping-particle":"","parse-names":false,"suffix":""},{"dropping-particle":"","family":"Schambelan","given":"Morris","non-dropping-particle":"","parse-names":false,"suffix":""}],"id":"ITEM-1","issued":{"date-parts":[["2019"]]},"page":"1-9","title":"Thyroid gland dysfunction in the patient with HIV","type":"article-journal"},"uris":["http://www.mendeley.com/documents/?uuid=b06b606b-c594-4fe3-965e-829423cafa18"]}],"mendeley":{"formattedCitation":"(Weinberg and Schambelan 2019)","plainTextFormattedCitation":"(Weinberg and Schambelan 2019)","previouslyFormattedCitation":"(Weinberg and Schambelan 2019)"},"properties":{"noteIndex":0},"schema":"https://github.com/citation-style-language/schema/raw/master/csl-citation.json"}</w:instrText>
      </w:r>
      <w:r w:rsidRPr="00794118">
        <w:rPr>
          <w:sz w:val="24"/>
          <w:szCs w:val="24"/>
        </w:rPr>
        <w:fldChar w:fldCharType="separate"/>
      </w:r>
      <w:r w:rsidRPr="00794118">
        <w:rPr>
          <w:noProof/>
          <w:sz w:val="24"/>
          <w:szCs w:val="24"/>
        </w:rPr>
        <w:t>(Weinberg and Schambelan 2019)</w:t>
      </w:r>
      <w:r w:rsidRPr="00794118">
        <w:rPr>
          <w:sz w:val="24"/>
          <w:szCs w:val="24"/>
        </w:rPr>
        <w:fldChar w:fldCharType="end"/>
      </w:r>
      <w:r w:rsidRPr="00794118">
        <w:rPr>
          <w:sz w:val="24"/>
          <w:szCs w:val="24"/>
        </w:rPr>
        <w:t xml:space="preserve">. Hipertiroid merupakan abnormalitas hormon tiroid yang paling jarang terjadi pada pasien dengan HIV. Prevalensi disfungsi hormon tiroid terbanyak adalah hipotiroid subklinis diikuti oleh overt hipotiroid (22.1%), dan overt hipertiroid (3.9%) </w:t>
      </w:r>
      <w:r w:rsidRPr="00794118">
        <w:rPr>
          <w:sz w:val="24"/>
          <w:szCs w:val="24"/>
        </w:rPr>
        <w:fldChar w:fldCharType="begin" w:fldLock="1"/>
      </w:r>
      <w:r w:rsidRPr="00794118">
        <w:rPr>
          <w:sz w:val="24"/>
          <w:szCs w:val="24"/>
        </w:rPr>
        <w:instrText>ADDIN CSL_CITATION {"citationItems":[{"id":"ITEM-1","itemData":{"DOI":"10.1155/2016/3874257","ISSN":"23146141","PMID":"27200374","abstract":"Thyroid dysfunction is more common in human immunodeficiency virus (HIV) patients. But the effects of highly active antiretroviral therapy (HAART) and hepatitis B/C virus (HBV/HCV) coinfection on thyroid function is unclear. We retrospectively reviewed the data of 178 HIV patients and determined the prevalence of thyroid dysfunction and the relationship between thyroid hormone levels, CD4 cell count, HIV-1 duration, HAART duration/regimens, and HBV/HCV coinfection. Of the 178 patients, 59 (33.1%) had thyroid dysfunction, mostly hypothyroidism. Thyroid dysfunction was significantly more frequent in the HAART group (41/104, 39.4%) than in the HAART-naïve group (18/74, 24.3%; P &lt; 0.05). The mean CD4 cell count was significantly lower in patients with hypothyroidism (372 ± 331/μL) than in the other patients (P &lt; 0.05). The FT4 level was significantly lower in the HAART group than in the HAART-naïve group (1.09 ± 0.23 versus 1.20 ± 0.29 pg/mL, P &lt; 0.05). FT3/FT4 levels were negatively related to HIV duration and FT3 levels were positively related to CD4 cell (P &lt; 0.05). HBV patients had lower FT3 levels, while HCV patients had higher FT3 and FT4 levels (P &lt; 0.05). Thyroid dysfunction is more common in HIV patients on HAART, mainly manifested as hypothyroidism. FT3/FT4 levels are correlated with HIV progression. HBV/HCV coinfection increases the probability of thyroid dysfunction.","author":[{"dropping-particle":"","family":"Ji","given":"Shujing","non-dropping-particle":"","parse-names":false,"suffix":""},{"dropping-particle":"","family":"Jin","given":"Changzhong","non-dropping-particle":"","parse-names":false,"suffix":""},{"dropping-particle":"","family":"Höxtermann","given":"Stefan","non-dropping-particle":"","parse-names":false,"suffix":""},{"dropping-particle":"","family":"Fuchs","given":"Wolfgang","non-dropping-particle":"","parse-names":false,"suffix":""},{"dropping-particle":"","family":"Xie","given":"Tiansheng","non-dropping-particle":"","parse-names":false,"suffix":""},{"dropping-particle":"","family":"Lu","given":"Xiangyun","non-dropping-particle":"","parse-names":false,"suffix":""},{"dropping-particle":"","family":"Wu","given":"Haibo","non-dropping-particle":"","parse-names":false,"suffix":""},{"dropping-particle":"","family":"Cheng","given":"Linfang","non-dropping-particle":"","parse-names":false,"suffix":""},{"dropping-particle":"","family":"Skaletz-Rorowski","given":"Adriane","non-dropping-particle":"","parse-names":false,"suffix":""},{"dropping-particle":"","family":"Brockmeyer","given":"Norbert H.","non-dropping-particle":"","parse-names":false,"suffix":""},{"dropping-particle":"","family":"Wu","given":"Nanping","non-dropping-particle":"","parse-names":false,"suffix":""}],"container-title":"BioMed Research International","id":"ITEM-1","issued":{"date-parts":[["2016"]]},"page":"9-13","title":"Prevalence and Influencing Factors of Thyroid Dysfunction in HIV-Infected Patients","type":"article-journal","volume":"2016"},"uris":["http://www.mendeley.com/documents/?uuid=743a016c-9249-4a5c-bb81-5d236ef9fe87"]}],"mendeley":{"formattedCitation":"(Ji et al. 2016)","plainTextFormattedCitation":"(Ji et al. 2016)","previouslyFormattedCitation":"(Ji et al. 2016)"},"properties":{"noteIndex":0},"schema":"https://github.com/citation-style-language/schema/raw/master/csl-citation.json"}</w:instrText>
      </w:r>
      <w:r w:rsidRPr="00794118">
        <w:rPr>
          <w:sz w:val="24"/>
          <w:szCs w:val="24"/>
        </w:rPr>
        <w:fldChar w:fldCharType="separate"/>
      </w:r>
      <w:r w:rsidRPr="00794118">
        <w:rPr>
          <w:noProof/>
          <w:sz w:val="24"/>
          <w:szCs w:val="24"/>
        </w:rPr>
        <w:t>(Ji et al. 2016)</w:t>
      </w:r>
      <w:r w:rsidRPr="00794118">
        <w:rPr>
          <w:sz w:val="24"/>
          <w:szCs w:val="24"/>
        </w:rPr>
        <w:fldChar w:fldCharType="end"/>
      </w:r>
      <w:r w:rsidRPr="00794118">
        <w:rPr>
          <w:sz w:val="24"/>
          <w:szCs w:val="24"/>
        </w:rPr>
        <w:t>. Pada laporan kasus ini kami melaporkan mengenai kejadian krisis tiroid pada seorang pria usia 30 tahun dengan komorbid HIV dan sirosis hati.</w:t>
      </w:r>
    </w:p>
    <w:p w14:paraId="14115D9F" w14:textId="77777777" w:rsidR="00794118" w:rsidRDefault="00794118" w:rsidP="00794118">
      <w:pPr>
        <w:spacing w:after="0" w:line="360" w:lineRule="auto"/>
        <w:rPr>
          <w:sz w:val="24"/>
          <w:szCs w:val="24"/>
        </w:rPr>
      </w:pPr>
    </w:p>
    <w:p w14:paraId="7D022349" w14:textId="77777777" w:rsidR="00B21F17" w:rsidRDefault="00B21F17" w:rsidP="00794118">
      <w:pPr>
        <w:spacing w:after="0" w:line="360" w:lineRule="auto"/>
        <w:rPr>
          <w:sz w:val="24"/>
          <w:szCs w:val="24"/>
        </w:rPr>
      </w:pPr>
    </w:p>
    <w:p w14:paraId="561095E3" w14:textId="77777777" w:rsidR="00B21F17" w:rsidRDefault="00B21F17" w:rsidP="00794118">
      <w:pPr>
        <w:spacing w:after="0" w:line="360" w:lineRule="auto"/>
        <w:rPr>
          <w:sz w:val="24"/>
          <w:szCs w:val="24"/>
        </w:rPr>
      </w:pPr>
    </w:p>
    <w:p w14:paraId="555314BB" w14:textId="77777777" w:rsidR="00B21F17" w:rsidRDefault="00B21F17" w:rsidP="00794118">
      <w:pPr>
        <w:spacing w:after="0" w:line="360" w:lineRule="auto"/>
        <w:rPr>
          <w:sz w:val="24"/>
          <w:szCs w:val="24"/>
        </w:rPr>
      </w:pPr>
    </w:p>
    <w:p w14:paraId="5DC09704" w14:textId="5BBD0F12" w:rsidR="00794118" w:rsidRDefault="00794118" w:rsidP="00794118">
      <w:pPr>
        <w:spacing w:after="0" w:line="360" w:lineRule="auto"/>
        <w:rPr>
          <w:b/>
          <w:bCs/>
          <w:sz w:val="24"/>
          <w:szCs w:val="24"/>
        </w:rPr>
      </w:pPr>
      <w:r w:rsidRPr="00794118">
        <w:rPr>
          <w:b/>
          <w:bCs/>
          <w:sz w:val="24"/>
          <w:szCs w:val="24"/>
        </w:rPr>
        <w:lastRenderedPageBreak/>
        <w:t>PRESENTASI KASUS</w:t>
      </w:r>
    </w:p>
    <w:p w14:paraId="682EA52C" w14:textId="77777777" w:rsidR="00794118" w:rsidRDefault="00794118" w:rsidP="00B21F17">
      <w:pPr>
        <w:spacing w:after="0" w:line="240" w:lineRule="auto"/>
        <w:rPr>
          <w:sz w:val="24"/>
          <w:szCs w:val="24"/>
        </w:rPr>
      </w:pPr>
      <w:r w:rsidRPr="00794118">
        <w:rPr>
          <w:sz w:val="24"/>
          <w:szCs w:val="24"/>
        </w:rPr>
        <w:t xml:space="preserve">Seorang pria usia 30 tahun datang dengan keluhan berdebar-debar sejak 1 bulan terakhir. Keluhan ini dirasakan hilang timbul, dan disertai dengan sesak nafas. Rasa berdebar-debar tidak berhubungan aktivitas, hilang dan timbul sewaktu-waktu. Sesak nafas diperberat dengan aktivitas dan berkurang saat istirahat. Sesak nafas tidak berhubungan dengan posisi tidur terlentang ataupun duduk. Tidak ada nyeri dada pada pasien. Tidak ada sembap pada tungkai. Pasien juga mengeluhkan saat buang air kecil terasa nyeri dan panas, tidak ada darah dan pasir pada air kencingnya. Terdapat demam dan anyang-anyangan, tidak ada mengedan saat buang air kecil. Tidak ada penurunan berat badan pada pasien. Tidak ada rasa mudah berkeringat dan mudah kepanasan. Tidak ada keluhan pada buang air besar. Pasien sudah dikenal memiliki riwayat HIV rutin mengkonsumsi obat Lamivudine 150 mg dan Zidovudine 300 mg, 2x1 tablet per hari, Lopinavir 200 mg dan Ritonavir 50 mg 2x2 tablet per hari selama 1 tahun terakhir, serta riwayat sirosis hati akibat alkohol, rutin mengkonsumsi Spironolactone 1x25 mg, Propanolol 2x10 mg, Furosemide 1x20 mg dan Tablet albumin 2x1 tablet. </w:t>
      </w:r>
    </w:p>
    <w:p w14:paraId="6F4F4005" w14:textId="77777777" w:rsidR="00B21F17" w:rsidRPr="00794118" w:rsidRDefault="00B21F17" w:rsidP="00B21F17">
      <w:pPr>
        <w:spacing w:after="0" w:line="240" w:lineRule="auto"/>
        <w:rPr>
          <w:sz w:val="24"/>
          <w:szCs w:val="24"/>
        </w:rPr>
      </w:pPr>
    </w:p>
    <w:p w14:paraId="6083867D" w14:textId="77777777" w:rsidR="00794118" w:rsidRPr="00794118" w:rsidRDefault="00794118" w:rsidP="00B21F17">
      <w:pPr>
        <w:spacing w:after="0" w:line="240" w:lineRule="auto"/>
        <w:rPr>
          <w:sz w:val="24"/>
          <w:szCs w:val="24"/>
        </w:rPr>
      </w:pPr>
      <w:r w:rsidRPr="00794118">
        <w:rPr>
          <w:sz w:val="24"/>
          <w:szCs w:val="24"/>
        </w:rPr>
        <w:t>Pada pemeriksaan fisik didapatkan keadaan umum tampak sakit sedang, kesadaran compos mentis, dan pemeriksaan tanda-tanda vital didapatkan tekanan darah 130/90 mmHg, nadi 130x/menit, nafas 25x/menit, suhu 38.5</w:t>
      </w:r>
      <w:r w:rsidRPr="00794118">
        <w:rPr>
          <w:rFonts w:cs="Calibri"/>
          <w:sz w:val="24"/>
          <w:szCs w:val="24"/>
        </w:rPr>
        <w:t>°</w:t>
      </w:r>
      <w:r w:rsidRPr="00794118">
        <w:rPr>
          <w:sz w:val="24"/>
          <w:szCs w:val="24"/>
        </w:rPr>
        <w:t>C, SpO2 99% pada udara ruangan. Pada pemeriksaan fisik leher ditemukan dalam batas normal, pada jantung didapatkan bunyi jantung ireguler, tidak terdengar bunyi gallop, pada paru didapatkan dalam batas normal, pada abdomen didapatkan ascites dan edema minimal pada kedua tungkai, pemeriksaan fisik lainnya tidak ditemukan adanya kelainan. Pada pemeriksaan antropometri didapatkan indeks massa tubuh sebesar 20,8 kg/m</w:t>
      </w:r>
      <w:r w:rsidRPr="00794118">
        <w:rPr>
          <w:sz w:val="24"/>
          <w:szCs w:val="24"/>
          <w:vertAlign w:val="superscript"/>
        </w:rPr>
        <w:t>2</w:t>
      </w:r>
      <w:r w:rsidRPr="00794118">
        <w:rPr>
          <w:sz w:val="24"/>
          <w:szCs w:val="24"/>
        </w:rPr>
        <w:t xml:space="preserve"> dengan skor Malnutrition Screening Tool sebesar 3 sehingga pasien berisiko malnutrisi.</w:t>
      </w:r>
    </w:p>
    <w:p w14:paraId="30CB4CC4" w14:textId="77777777" w:rsidR="00794118" w:rsidRDefault="00794118" w:rsidP="00794118">
      <w:pPr>
        <w:spacing w:after="0" w:line="240" w:lineRule="auto"/>
        <w:rPr>
          <w:sz w:val="24"/>
          <w:szCs w:val="24"/>
        </w:rPr>
      </w:pPr>
      <w:r w:rsidRPr="00794118">
        <w:rPr>
          <w:sz w:val="24"/>
          <w:szCs w:val="24"/>
        </w:rPr>
        <w:t>Pada pemeriksaan penunjang didapatkan Hb 13.8 g/dl, leukosit 10.840 x 10</w:t>
      </w:r>
      <w:r w:rsidRPr="00794118">
        <w:rPr>
          <w:sz w:val="24"/>
          <w:szCs w:val="24"/>
          <w:vertAlign w:val="superscript"/>
        </w:rPr>
        <w:t>3</w:t>
      </w:r>
      <w:r w:rsidRPr="00794118">
        <w:rPr>
          <w:sz w:val="24"/>
          <w:szCs w:val="24"/>
        </w:rPr>
        <w:t>/uL, trombosit 120.000 x 10</w:t>
      </w:r>
      <w:r w:rsidRPr="00794118">
        <w:rPr>
          <w:sz w:val="24"/>
          <w:szCs w:val="24"/>
          <w:vertAlign w:val="superscript"/>
        </w:rPr>
        <w:t>3</w:t>
      </w:r>
      <w:r w:rsidRPr="00794118">
        <w:rPr>
          <w:sz w:val="24"/>
          <w:szCs w:val="24"/>
        </w:rPr>
        <w:t>/uL, ureum 29.4 mg/dl, kreatinin 0.82 mg/dl, albumin 2.66 g/dl, SGOT 59 U/L, SGPT 29.5 U/L, TSH &lt; 0.01 mU/L, FT4 &gt; 6 ng/dl, TSH receptor Antibody (TRAb) meningkat. Pada urinalisa terdapat peningkatan leukosit urin dan bakteri (+). Pada EKG menunjukkan Atrial Fibrilasi dengan Rapid Ventricular Rate. Hasil dari foto torak dalam batas normal.</w:t>
      </w:r>
    </w:p>
    <w:p w14:paraId="1CCCC231" w14:textId="77777777" w:rsidR="00B21F17" w:rsidRPr="00794118" w:rsidRDefault="00B21F17" w:rsidP="00794118">
      <w:pPr>
        <w:spacing w:after="0" w:line="240" w:lineRule="auto"/>
        <w:rPr>
          <w:sz w:val="24"/>
          <w:szCs w:val="24"/>
        </w:rPr>
      </w:pPr>
    </w:p>
    <w:p w14:paraId="024CCF80" w14:textId="77777777" w:rsidR="00794118" w:rsidRDefault="00794118" w:rsidP="00B21F17">
      <w:pPr>
        <w:spacing w:after="0" w:line="240" w:lineRule="auto"/>
        <w:rPr>
          <w:sz w:val="24"/>
          <w:szCs w:val="24"/>
        </w:rPr>
      </w:pPr>
      <w:r w:rsidRPr="00794118">
        <w:rPr>
          <w:sz w:val="24"/>
          <w:szCs w:val="24"/>
        </w:rPr>
        <w:t xml:space="preserve">Asesmen pada pasien adalah Krisis Tiroid, Penyakit Graves,  Atrial Fibrilasi dengan Rapid Ventricular Rate, Infeksi Saluran Kemih (ISK), HIV stadium klinis 1, Sirosis Hati akibat alkohol. Pada pasien diberikan cairan infus NaCl 0.9% 1 kolf per 8 jam, Propylthiouracil (PTU) 600 mg kemudian Thiamazole 4x20 mg, Propanolol 4x20 mg, Dexamethasone 1x6 mg IV, Ceftriaxone 1x2 gm IV, Spironolactone 1x25 mg, Furosemide 1x20 mg, ARV dan tablet albumin dilanjutkan. Nutrisi diberikan sebesar 2100 kkal, protein 1,5 g/kg BB/hari, natrium 1500-2300 mg/hari melalui jalur oral. Pasien mengalami perbaikan klinis selama perawatan, EKG ulang menunjukkan sinus rhythm dan pasien dipulangkan pada hari ke-3 perawatan. </w:t>
      </w:r>
    </w:p>
    <w:p w14:paraId="61B8D794" w14:textId="77777777" w:rsidR="00794118" w:rsidRDefault="00794118" w:rsidP="00794118">
      <w:pPr>
        <w:spacing w:after="0" w:line="240" w:lineRule="auto"/>
        <w:rPr>
          <w:sz w:val="24"/>
          <w:szCs w:val="24"/>
        </w:rPr>
      </w:pPr>
    </w:p>
    <w:p w14:paraId="1FC41092" w14:textId="77777777" w:rsidR="00794118" w:rsidRDefault="00794118" w:rsidP="00794118">
      <w:pPr>
        <w:spacing w:after="0" w:line="240" w:lineRule="auto"/>
        <w:rPr>
          <w:b/>
          <w:bCs/>
          <w:sz w:val="24"/>
          <w:szCs w:val="24"/>
        </w:rPr>
      </w:pPr>
    </w:p>
    <w:p w14:paraId="3957AE67" w14:textId="77777777" w:rsidR="00794118" w:rsidRDefault="00794118" w:rsidP="00794118">
      <w:pPr>
        <w:spacing w:after="0" w:line="240" w:lineRule="auto"/>
        <w:rPr>
          <w:b/>
          <w:bCs/>
          <w:sz w:val="24"/>
          <w:szCs w:val="24"/>
        </w:rPr>
      </w:pPr>
    </w:p>
    <w:p w14:paraId="76429AC7" w14:textId="77777777" w:rsidR="00B21F17" w:rsidRDefault="00B21F17" w:rsidP="00794118">
      <w:pPr>
        <w:spacing w:after="0" w:line="240" w:lineRule="auto"/>
        <w:rPr>
          <w:b/>
          <w:bCs/>
          <w:sz w:val="24"/>
          <w:szCs w:val="24"/>
        </w:rPr>
      </w:pPr>
    </w:p>
    <w:p w14:paraId="7438C158" w14:textId="77777777" w:rsidR="00B21F17" w:rsidRDefault="00B21F17" w:rsidP="00794118">
      <w:pPr>
        <w:spacing w:after="0" w:line="240" w:lineRule="auto"/>
        <w:rPr>
          <w:b/>
          <w:bCs/>
          <w:sz w:val="24"/>
          <w:szCs w:val="24"/>
        </w:rPr>
      </w:pPr>
    </w:p>
    <w:p w14:paraId="405E5351" w14:textId="77777777" w:rsidR="00B21F17" w:rsidRDefault="00B21F17" w:rsidP="00794118">
      <w:pPr>
        <w:spacing w:after="0" w:line="240" w:lineRule="auto"/>
        <w:rPr>
          <w:b/>
          <w:bCs/>
          <w:sz w:val="24"/>
          <w:szCs w:val="24"/>
        </w:rPr>
      </w:pPr>
    </w:p>
    <w:p w14:paraId="386470F6" w14:textId="77777777" w:rsidR="00794118" w:rsidRDefault="00794118" w:rsidP="00794118">
      <w:pPr>
        <w:spacing w:after="0" w:line="240" w:lineRule="auto"/>
        <w:rPr>
          <w:b/>
          <w:bCs/>
          <w:sz w:val="24"/>
          <w:szCs w:val="24"/>
        </w:rPr>
      </w:pPr>
    </w:p>
    <w:p w14:paraId="46DCC249" w14:textId="73CA712B" w:rsidR="00794118" w:rsidRDefault="00794118" w:rsidP="00794118">
      <w:pPr>
        <w:spacing w:after="0" w:line="240" w:lineRule="auto"/>
        <w:rPr>
          <w:b/>
          <w:bCs/>
          <w:sz w:val="24"/>
          <w:szCs w:val="24"/>
        </w:rPr>
      </w:pPr>
      <w:r w:rsidRPr="00794118">
        <w:rPr>
          <w:b/>
          <w:bCs/>
          <w:sz w:val="24"/>
          <w:szCs w:val="24"/>
        </w:rPr>
        <w:lastRenderedPageBreak/>
        <w:t>PEMBAHASAN</w:t>
      </w:r>
    </w:p>
    <w:p w14:paraId="498EA008" w14:textId="77777777" w:rsidR="00794118" w:rsidRPr="00794118" w:rsidRDefault="00794118" w:rsidP="00B21F17">
      <w:pPr>
        <w:spacing w:after="0" w:line="240" w:lineRule="auto"/>
        <w:rPr>
          <w:sz w:val="24"/>
          <w:szCs w:val="24"/>
        </w:rPr>
      </w:pPr>
      <w:r w:rsidRPr="00794118">
        <w:rPr>
          <w:sz w:val="24"/>
          <w:szCs w:val="24"/>
        </w:rPr>
        <w:t xml:space="preserve">Infeksi HIV telah lama diketahui berhubungan dengan sistem endokrin. Sebelum masa pengobatan dengan ART, kelainan hormon tiroid pada HIV berhubungan dengan infeksi oportunistik. Pada era ART, proses yang kompleks timbul, dimana pasien juga mengalami resistensi insulin, diabetes, abnormalitas hormon seksual, dan osteoporosis, namun keseluruhan mekanisme terjadinya abnormalitas ini belum diketahui. Pada beberapa tahun ini, prevalensi abnormalitas pemeriksaan fungsi tiroid meningkat seiring dengan semakin meningkatnya penggunaan ART </w:t>
      </w:r>
      <w:r w:rsidRPr="00794118">
        <w:rPr>
          <w:sz w:val="24"/>
          <w:szCs w:val="24"/>
        </w:rPr>
        <w:fldChar w:fldCharType="begin" w:fldLock="1"/>
      </w:r>
      <w:r w:rsidRPr="00794118">
        <w:rPr>
          <w:sz w:val="24"/>
          <w:szCs w:val="24"/>
        </w:rPr>
        <w:instrText>ADDIN CSL_CITATION {"citationItems":[{"id":"ITEM-1","itemData":{"DOI":"10.3889/oamjms.2023.11511","abstract":"Background: Thyroid hormone is very important in regulating energy metabolism in all tissues of the human body. Thyroid dysfunction plays an important role in osteoporosis, hyperlipidemia and cardiovascular disease, all of which are associated with Human Immunodeficiency Virus (HIV) infection or therapy for HIV. Medications used to treat HIV infection are also said to be important factors that can cause thyroid abnormalities. This study aim is to see the effect of giving Antiretroviral Therapy (ART) to the thyroid function of new HIV patients in stage 1 and 2.\r Method: This prospective cohort study was conducted at Medan city health center and Medan Haji Adam Malik Hospital in March-June 2019. HIV patients who met the inclusion criteria were tested for thyroid function (Ft4 and TSH) before and after 3 months on ART, BMI, routine blood, CD4 and quality of life using the SF-36 questionnaire. Data analysis used paired t test and Pearson correlation.\r Result: 34 patients with stage 1 and 2 HIV showed normal thyroid function ; the average FT4 level was 1.03 ± 0.14 ng / dl and the average TSH level was 1.44 ± 0.68 µIU / mL. After 3 months of antiretroviral therapy, the mean thyroid function changes were obtained from the study subjects, where the mean FT4 results were 0.87 ± 0.13 ng / dl and the average TSH results were 1.76 ± 0.91 µIU / mL and the results were statistically significant with p 0.006 (p &lt;0.05). There was a statistically significant relationship between TSH and CD4 levels with BMI after ART administration (p &lt;0.05), but no statistically significant relationship was found between FT4 and BMI (p = 0.957). No statistically significant relationship was found between CD4 levels in study subjects and changes in fT4 levels (p = 0.557, r = 0.104) and TSH (p = 0.267, r = 0.196). There was also no significant difference in the quality of life of study subjects as seen from the SF-36 questionnaire both from changes in thyroid function and from CD4 levels.\r Conclusion: Stage 1 and 2 HIV patients who are on ART for 3 months experienced thyroid dysfunction.","author":[{"dropping-particle":"","family":"Nasution","given":"Melati Silvanni","non-dropping-particle":"","parse-names":false,"suffix":""},{"dropping-particle":"","family":"Lindarto","given":"Dharma","non-dropping-particle":"","parse-names":false,"suffix":""},{"dropping-particle":"","family":"Kembaren","given":"Tambar","non-dropping-particle":"","parse-names":false,"suffix":""}],"container-title":"Open Access Macedonian Journal of Medical Sciences","id":"ITEM-1","issue":"B","issued":{"date-parts":[["2023"]]},"page":"376-379","title":"Effect of Antiretroviral Therapy to Thyroid Function Status on New Stage 1 and 2 Human Immunodeficiency Virus Patient","type":"article-journal","volume":"11"},"uris":["http://www.mendeley.com/documents/?uuid=087de786-3925-477e-9b6c-6c8615ba4a0b"]}],"mendeley":{"formattedCitation":"(Nasution, Lindarto, and Kembaren 2023)","plainTextFormattedCitation":"(Nasution, Lindarto, and Kembaren 2023)","previouslyFormattedCitation":"(Nasution, Lindarto, and Kembaren 2023)"},"properties":{"noteIndex":0},"schema":"https://github.com/citation-style-language/schema/raw/master/csl-citation.json"}</w:instrText>
      </w:r>
      <w:r w:rsidRPr="00794118">
        <w:rPr>
          <w:sz w:val="24"/>
          <w:szCs w:val="24"/>
        </w:rPr>
        <w:fldChar w:fldCharType="separate"/>
      </w:r>
      <w:r w:rsidRPr="00794118">
        <w:rPr>
          <w:noProof/>
          <w:sz w:val="24"/>
          <w:szCs w:val="24"/>
        </w:rPr>
        <w:t>(Nasution, Lindarto, and Kembaren 2023)</w:t>
      </w:r>
      <w:r w:rsidRPr="00794118">
        <w:rPr>
          <w:sz w:val="24"/>
          <w:szCs w:val="24"/>
        </w:rPr>
        <w:fldChar w:fldCharType="end"/>
      </w:r>
      <w:r w:rsidRPr="00794118">
        <w:rPr>
          <w:sz w:val="24"/>
          <w:szCs w:val="24"/>
        </w:rPr>
        <w:t xml:space="preserve">. </w:t>
      </w:r>
    </w:p>
    <w:p w14:paraId="7F9E3C1A" w14:textId="77777777" w:rsidR="00794118" w:rsidRDefault="00794118" w:rsidP="00794118">
      <w:pPr>
        <w:spacing w:after="0" w:line="240" w:lineRule="auto"/>
        <w:rPr>
          <w:sz w:val="24"/>
          <w:szCs w:val="24"/>
        </w:rPr>
      </w:pPr>
      <w:r w:rsidRPr="00794118">
        <w:rPr>
          <w:sz w:val="24"/>
          <w:szCs w:val="24"/>
        </w:rPr>
        <w:t>Mekanisme kelainan tiroid pada infeksi HIV dapat berupa kanker tiroid, hipotiroid dan hipertiroid. Kanker tiroid berhubungan dengan infeksi onkogenik dan semakin meningkat seiring dengan bertambahnya durasi infeksi HIV. Pada kejadian hipotiroid berhubungan dengan infeksi oportunistik, pengobatan infeksi oportunistik terutama Rifampisin, malnutrisi mikronutrien (Selenium dan Iodium), dan pengobatan ART serta reaksi imun. Sedangkan pada kasus hipertiroid berhubungan dengan Penyakit Graves, hal ini berkaitan dengan meningkatnya sistem imun setelah menggunakan ART (</w:t>
      </w:r>
      <w:r w:rsidRPr="00794118">
        <w:rPr>
          <w:i/>
          <w:iCs/>
          <w:sz w:val="24"/>
          <w:szCs w:val="24"/>
        </w:rPr>
        <w:t>Graves Immune Restoration Syndrome</w:t>
      </w:r>
      <w:r w:rsidRPr="00794118">
        <w:rPr>
          <w:sz w:val="24"/>
          <w:szCs w:val="24"/>
        </w:rPr>
        <w:t xml:space="preserve">) </w:t>
      </w:r>
      <w:r w:rsidRPr="00794118">
        <w:rPr>
          <w:sz w:val="24"/>
          <w:szCs w:val="24"/>
        </w:rPr>
        <w:fldChar w:fldCharType="begin" w:fldLock="1"/>
      </w:r>
      <w:r w:rsidRPr="00794118">
        <w:rPr>
          <w:sz w:val="24"/>
          <w:szCs w:val="24"/>
        </w:rPr>
        <w:instrText>ADDIN CSL_CITATION {"citationItems":[{"id":"ITEM-1","itemData":{"DOI":"10.21037/aot.2019.07.01","ISSN":"25226681","abstract":"Abnormal thyroid functions are common among individuals living with human immunodeficiency virus (HIV). Potent antiretroviral therapy can induce abnormalities in thyroid function or it can be related to drug interactions and the immune reconstitution inflammatory syndrome (IRIS). Increasing prevalence of thyroid dysfunction has been reported in individuals living with HIV (LWHIV). However, there is insufficient evidence to recommend routine thyroid screening of asymptomatic individuals. Hence, in this review we report the common thyroid dysfunctions associated with HIV and in association of anti-retroviral therapy (ART); after critical review of PubMed and Google scholar published-English literature since 1996. HIV can be associated with hypothyroidism, hyperthyroidism and also may increase the risk of thyroid cancer. Emerging evidence also showed that in well treated individuals LWHIV, thyroid function may not be affected by HIV. Therefore, it is a good clinical practice to screen for thyroid function once every 12-24 months. Currently there is little research about the impact of aging in thyroid function in individuals living with HIV. Further research is also needed to establish the value and interval of regular screening of thyroid function in individuals living with HIV.","author":[{"dropping-particle":"","family":"Ibrahim","given":"Maryam","non-dropping-particle":"","parse-names":false,"suffix":""},{"dropping-particle":"","family":"Adeniran","given":"Anjola","non-dropping-particle":"","parse-names":false,"suffix":""},{"dropping-particle":"","family":"Ibrahim","given":"Mariam A.","non-dropping-particle":"","parse-names":false,"suffix":""},{"dropping-particle":"","family":"Woodward","given":"Clare","non-dropping-particle":"","parse-names":false,"suffix":""},{"dropping-particle":"","family":"Mital","given":"Dushyant","non-dropping-particle":"","parse-names":false,"suffix":""},{"dropping-particle":"","family":"Ahmed","given":"Mohamed H.","non-dropping-particle":"","parse-names":false,"suffix":""}],"container-title":"Annals of Thyroid","id":"ITEM-1","issue":"4","issued":{"date-parts":[["2019"]]},"page":"3-10","title":"Thyroid function in individuals living with human immunodeficiency virus: the concern and debate about regular screening","type":"article-journal"},"uris":["http://www.mendeley.com/documents/?uuid=c0dc5a5e-9e7a-42d7-8e88-74dfca8581f3"]}],"mendeley":{"formattedCitation":"(Ibrahim et al. 2019)","plainTextFormattedCitation":"(Ibrahim et al. 2019)","previouslyFormattedCitation":"(Ibrahim et al. 2019)"},"properties":{"noteIndex":0},"schema":"https://github.com/citation-style-language/schema/raw/master/csl-citation.json"}</w:instrText>
      </w:r>
      <w:r w:rsidRPr="00794118">
        <w:rPr>
          <w:sz w:val="24"/>
          <w:szCs w:val="24"/>
        </w:rPr>
        <w:fldChar w:fldCharType="separate"/>
      </w:r>
      <w:r w:rsidRPr="00794118">
        <w:rPr>
          <w:noProof/>
          <w:sz w:val="24"/>
          <w:szCs w:val="24"/>
        </w:rPr>
        <w:t>(Ibrahim et al. 2019)</w:t>
      </w:r>
      <w:r w:rsidRPr="00794118">
        <w:rPr>
          <w:sz w:val="24"/>
          <w:szCs w:val="24"/>
        </w:rPr>
        <w:fldChar w:fldCharType="end"/>
      </w:r>
      <w:r w:rsidRPr="00794118">
        <w:rPr>
          <w:sz w:val="24"/>
          <w:szCs w:val="24"/>
        </w:rPr>
        <w:t>.</w:t>
      </w:r>
    </w:p>
    <w:p w14:paraId="7DAF181F" w14:textId="77777777" w:rsidR="00B21F17" w:rsidRPr="00794118" w:rsidRDefault="00B21F17" w:rsidP="00794118">
      <w:pPr>
        <w:spacing w:after="0" w:line="240" w:lineRule="auto"/>
        <w:rPr>
          <w:sz w:val="24"/>
          <w:szCs w:val="24"/>
        </w:rPr>
      </w:pPr>
    </w:p>
    <w:p w14:paraId="7474B28B" w14:textId="77777777" w:rsidR="00794118" w:rsidRDefault="00794118" w:rsidP="00B21F17">
      <w:pPr>
        <w:spacing w:after="0" w:line="240" w:lineRule="auto"/>
        <w:rPr>
          <w:sz w:val="24"/>
          <w:szCs w:val="24"/>
        </w:rPr>
      </w:pPr>
      <w:r w:rsidRPr="00794118">
        <w:rPr>
          <w:sz w:val="24"/>
          <w:szCs w:val="24"/>
        </w:rPr>
        <w:t xml:space="preserve">Penyakit Graves merupakan penyebab hipertiroid yang paling sering terjadi pada HIV </w:t>
      </w:r>
      <w:r w:rsidRPr="00794118">
        <w:rPr>
          <w:sz w:val="24"/>
          <w:szCs w:val="24"/>
        </w:rPr>
        <w:fldChar w:fldCharType="begin" w:fldLock="1"/>
      </w:r>
      <w:r w:rsidRPr="00794118">
        <w:rPr>
          <w:sz w:val="24"/>
          <w:szCs w:val="24"/>
        </w:rPr>
        <w:instrText>ADDIN CSL_CITATION {"citationItems":[{"id":"ITEM-1","itemData":{"author":[{"dropping-particle":"","family":"Sheikh","given":"Virginia","non-dropping-particle":"","parse-names":false,"suffix":""},{"dropping-particle":"","family":"Dersimonian","given":"","non-dropping-particle":"","parse-names":false,"suffix":""},{"dropping-particle":"","family":"Rebeccab","given":"","non-dropping-particle":"","parse-names":false,"suffix":""},{"dropping-particle":"","family":"Richterman","given":"","non-dropping-particle":"","parse-names":false,"suffix":""},{"dropping-particle":"","family":"G.","given":"Aaron","non-dropping-particle":"","parse-names":false,"suffix":""},{"dropping-particle":"","family":"Porter","given":"","non-dropping-particle":"","parse-names":false,"suffix":""},{"dropping-particle":"","family":"O","given":"Brian","non-dropping-particle":"","parse-names":false,"suffix":""},{"dropping-particle":"","family":"Natarajan","given":"Venc","non-dropping-particle":"","parse-names":false,"suffix":""},{"dropping-particle":"","family":"Burbelo","given":"Peter D.","non-dropping-particle":"","parse-names":false,"suffix":""},{"dropping-particle":"","family":"Rupert","given":"Adam","non-dropping-particle":"","parse-names":false,"suffix":""},{"dropping-particle":"","family":"Santich","given":"Brian H","non-dropping-particle":"","parse-names":false,"suffix":""},{"dropping-particle":"","family":"Kardava","given":"Lelaa","non-dropping-particle":"","parse-names":false,"suffix":""},{"dropping-particle":"","family":"Mican","given":"JoAnn M","non-dropping-particle":"","parse-names":false,"suffix":""},{"dropping-particle":"","family":"Moir","given":"Susana","non-dropping-particle":"","parse-names":false,"suffix":""},{"dropping-particle":"","family":"Sereti","given":"Irini","non-dropping-particle":"","parse-names":false,"suffix":""}],"container-title":"AIDS","id":"ITEM-1","issue":"1","issued":{"date-parts":[["2014"]]},"page":"31-9","title":"Graves’ disease as immune reconstitution disease in HIV-positive patients is associated with naive and primary thymic emigrant CD4+ T-cell recovery","type":"article-journal","volume":"28"},"uris":["http://www.mendeley.com/documents/?uuid=ec682e08-a6f7-4e8a-ab49-bb8ef3d50653"]}],"mendeley":{"formattedCitation":"(Sheikh et al. 2014)","plainTextFormattedCitation":"(Sheikh et al. 2014)","previouslyFormattedCitation":"(Sheikh et al. 2014)"},"properties":{"noteIndex":0},"schema":"https://github.com/citation-style-language/schema/raw/master/csl-citation.json"}</w:instrText>
      </w:r>
      <w:r w:rsidRPr="00794118">
        <w:rPr>
          <w:sz w:val="24"/>
          <w:szCs w:val="24"/>
        </w:rPr>
        <w:fldChar w:fldCharType="separate"/>
      </w:r>
      <w:r w:rsidRPr="00794118">
        <w:rPr>
          <w:noProof/>
          <w:sz w:val="24"/>
          <w:szCs w:val="24"/>
        </w:rPr>
        <w:t>(Sheikh et al. 2014)</w:t>
      </w:r>
      <w:r w:rsidRPr="00794118">
        <w:rPr>
          <w:sz w:val="24"/>
          <w:szCs w:val="24"/>
        </w:rPr>
        <w:fldChar w:fldCharType="end"/>
      </w:r>
      <w:r w:rsidRPr="00794118">
        <w:rPr>
          <w:sz w:val="24"/>
          <w:szCs w:val="24"/>
        </w:rPr>
        <w:t xml:space="preserve">. Terjadinya Penyakit Graves pada HIV merupakan komplikasi dari penggunaan ART dan disebut dengan </w:t>
      </w:r>
      <w:r w:rsidRPr="00794118">
        <w:rPr>
          <w:i/>
          <w:iCs/>
          <w:sz w:val="24"/>
          <w:szCs w:val="24"/>
        </w:rPr>
        <w:t xml:space="preserve">Graves Immune Restoration Syndrome </w:t>
      </w:r>
      <w:r w:rsidRPr="00794118">
        <w:rPr>
          <w:sz w:val="24"/>
          <w:szCs w:val="24"/>
        </w:rPr>
        <w:t xml:space="preserve"> (GIRT) </w:t>
      </w:r>
      <w:r w:rsidRPr="00794118">
        <w:rPr>
          <w:sz w:val="24"/>
          <w:szCs w:val="24"/>
        </w:rPr>
        <w:fldChar w:fldCharType="begin" w:fldLock="1"/>
      </w:r>
      <w:r w:rsidRPr="00794118">
        <w:rPr>
          <w:sz w:val="24"/>
          <w:szCs w:val="24"/>
        </w:rPr>
        <w:instrText>ADDIN CSL_CITATION {"citationItems":[{"id":"ITEM-1","itemData":{"DOI":"10.1155/2011/743597","ISSN":"20901240","abstract":"Graves' disease after the initiation of highly active antiretroviral therapy (HAART) in certain HIV-1-infected individuals has been described as an immune reconstitution inflammatory syndrome (IRIS). This phenomenon should be suspected in individuals who present with clinical deterioration and a presentation suggestive of hyperthyroidism despite good virological and immunological response to HAART. Signs and symptoms of hyperthyroidism may be discrete or overt and typically develop 8-33 months after initiating therapy. One to two percent of HIV-infected patients can present with overt thyroid disease. Relatively few cases of Graves' IRIS have been reported in the literature to date. We describe four cases of Graves' IRIS in HIV-infected patients who were started on HAART therapy. © 2011 Samad Rasul et al.","author":[{"dropping-particle":"","family":"Rasul","given":"Samad","non-dropping-particle":"","parse-names":false,"suffix":""},{"dropping-particle":"","family":"Delapenha","given":"Robert","non-dropping-particle":"","parse-names":false,"suffix":""},{"dropping-particle":"","family":"Farhat","given":"Faria","non-dropping-particle":"","parse-names":false,"suffix":""},{"dropping-particle":"","family":"Gajjala","given":"Jhansi","non-dropping-particle":"","parse-names":false,"suffix":""},{"dropping-particle":"","family":"Zahra","given":"Syeda Mehreen","non-dropping-particle":"","parse-names":false,"suffix":""}],"container-title":"AIDS Research and Treatment","id":"ITEM-1","issued":{"date-parts":[["2011"]]},"title":"Graves' disease as a manifestation of immune reconstitution in HIV-infected individuals after initiation of highly active antiretroviral therapy","type":"article-journal","volume":"2011"},"uris":["http://www.mendeley.com/documents/?uuid=60b94dcf-1581-45ff-9983-ffa12306f9e7"]}],"mendeley":{"formattedCitation":"(Rasul et al. 2011)","plainTextFormattedCitation":"(Rasul et al. 2011)","previouslyFormattedCitation":"(Rasul et al. 2011)"},"properties":{"noteIndex":0},"schema":"https://github.com/citation-style-language/schema/raw/master/csl-citation.json"}</w:instrText>
      </w:r>
      <w:r w:rsidRPr="00794118">
        <w:rPr>
          <w:sz w:val="24"/>
          <w:szCs w:val="24"/>
        </w:rPr>
        <w:fldChar w:fldCharType="separate"/>
      </w:r>
      <w:r w:rsidRPr="00794118">
        <w:rPr>
          <w:noProof/>
          <w:sz w:val="24"/>
          <w:szCs w:val="24"/>
        </w:rPr>
        <w:t>(Rasul et al. 2011)</w:t>
      </w:r>
      <w:r w:rsidRPr="00794118">
        <w:rPr>
          <w:sz w:val="24"/>
          <w:szCs w:val="24"/>
        </w:rPr>
        <w:fldChar w:fldCharType="end"/>
      </w:r>
      <w:r w:rsidRPr="00794118">
        <w:rPr>
          <w:sz w:val="24"/>
          <w:szCs w:val="24"/>
        </w:rPr>
        <w:t xml:space="preserve">. ART membantu menekan replikasi virus sehingga memungkinkan untuk terjadinya restorasi sel CD4+ memori dan naïve. Restorasi dari sistem imun dapat menjadi suatu hal yang patologis dan berkembang menjadi IRIS, dimana peningkatan yang cepat dari sel CD4+ naïve disertai dengan kegagalan untuk menurunkan sel T auto-reaktif pada timus yang akan memicu terjadi nya penyakit autoimun pada organ spesifik. Sehingga, setelah penggunaan ART selama beberapa minggu sampai dengan beberapa tahun, terjadi peningkatan produksi autoantibodi termasuk pada reseptor TSH dan menimbulkan Penyakit Graves </w:t>
      </w:r>
      <w:r w:rsidRPr="00794118">
        <w:rPr>
          <w:sz w:val="24"/>
          <w:szCs w:val="24"/>
        </w:rPr>
        <w:fldChar w:fldCharType="begin" w:fldLock="1"/>
      </w:r>
      <w:r w:rsidRPr="00794118">
        <w:rPr>
          <w:sz w:val="24"/>
          <w:szCs w:val="24"/>
        </w:rPr>
        <w:instrText>ADDIN CSL_CITATION {"citationItems":[{"id":"ITEM-1","itemData":{"DOI":"10.1155/2011/743597","ISSN":"20901240","abstract":"Graves' disease after the initiation of highly active antiretroviral therapy (HAART) in certain HIV-1-infected individuals has been described as an immune reconstitution inflammatory syndrome (IRIS). This phenomenon should be suspected in individuals who present with clinical deterioration and a presentation suggestive of hyperthyroidism despite good virological and immunological response to HAART. Signs and symptoms of hyperthyroidism may be discrete or overt and typically develop 8-33 months after initiating therapy. One to two percent of HIV-infected patients can present with overt thyroid disease. Relatively few cases of Graves' IRIS have been reported in the literature to date. We describe four cases of Graves' IRIS in HIV-infected patients who were started on HAART therapy. © 2011 Samad Rasul et al.","author":[{"dropping-particle":"","family":"Rasul","given":"Samad","non-dropping-particle":"","parse-names":false,"suffix":""},{"dropping-particle":"","family":"Delapenha","given":"Robert","non-dropping-particle":"","parse-names":false,"suffix":""},{"dropping-particle":"","family":"Farhat","given":"Faria","non-dropping-particle":"","parse-names":false,"suffix":""},{"dropping-particle":"","family":"Gajjala","given":"Jhansi","non-dropping-particle":"","parse-names":false,"suffix":""},{"dropping-particle":"","family":"Zahra","given":"Syeda Mehreen","non-dropping-particle":"","parse-names":false,"suffix":""}],"container-title":"AIDS Research and Treatment","id":"ITEM-1","issued":{"date-parts":[["2011"]]},"title":"Graves' disease as a manifestation of immune reconstitution in HIV-infected individuals after initiation of highly active antiretroviral therapy","type":"article-journal","volume":"2011"},"uris":["http://www.mendeley.com/documents/?uuid=60b94dcf-1581-45ff-9983-ffa12306f9e7"]},{"id":"ITEM-2","itemData":{"DOI":"10.1210/jc.2014-3544","ISSN":"19457197","PMID":"25584718","abstract":"Background: Graves' disease (GD) as an immune reconstitution inflammatory syndrome during highly active antiretroviral therapy (HAART) for HIV has previously been reported. However, clinical challenges associated with HIV in the context of thyroid eye disease (TED) are not as well-characterized. Objective: To determine the frequency of coexisting HIV and TED, describe TED presentation and course in the context of HIV, and evaluate management difficulties as well as potential solutions. Methods: Cross-sectional study of all patients with coexisting GD and HIV at University Hospitals Birmingham (2003-2014). Retrospective case note review to identify TED with particular reference to HAART regimen, CD4+ T-cell count, HIV viral load, and TED activity and severity. Results: Of 783 subjects with GD and 1186 with HIV, 11 were identified with both GD and HIV. Of these, three had clinical features of TED; each was of Afro-Caribbean origin, was in their fourth decade, and initially presented with undetectable CD4 T cells and high HIV viral loads. All went on to develop GD &gt;3 years after commencing HAART, with normal CD4 count and undetectable viral load at the time of GD diagnosis. The full spectrum of TED was represented, with two subjects requiring orbital decompression surgery. Discussion: TED in the context of HIV is uncommon. Many challenges exist in such patients, particularly HAART drug interactions with antithyroid and immunosuppressant medications. To better understand TED in HIV and to counsel patients with this copathology most effectively, future multicenter surveillance is required.","author":[{"dropping-particle":"","family":"Edmunds","given":"Matthew R.","non-dropping-particle":"","parse-names":false,"suffix":""},{"dropping-particle":"","family":"Mellington","given":"Faye","non-dropping-particle":"","parse-names":false,"suffix":""},{"dropping-particle":"","family":"Ford","given":"Rebecca L.","non-dropping-particle":"","parse-names":false,"suffix":""},{"dropping-particle":"","family":"Torlinska","given":"Barbara","non-dropping-particle":"","parse-names":false,"suffix":""},{"dropping-particle":"","family":"Manavi","given":"Kaveh","non-dropping-particle":"","parse-names":false,"suffix":""},{"dropping-particle":"","family":"Boelaert","given":"Kristien","non-dropping-particle":"","parse-names":false,"suffix":""}],"container-title":"Journal of Clinical Endocrinology and Metabolism","id":"ITEM-2","issue":"3","issued":{"date-parts":[["2015"]]},"page":"779-787","title":"Clinical challenges of thyroid eye disease in HIV-positive patients on highly active antiretroviral therapy","type":"article-journal","volume":"100"},"uris":["http://www.mendeley.com/documents/?uuid=f8138871-0097-4c82-a02f-55131f697f60"]}],"mendeley":{"formattedCitation":"(Edmunds et al. 2015; Rasul et al. 2011)","plainTextFormattedCitation":"(Edmunds et al. 2015; Rasul et al. 2011)","previouslyFormattedCitation":"(Edmunds et al. 2015; Rasul et al. 2011)"},"properties":{"noteIndex":0},"schema":"https://github.com/citation-style-language/schema/raw/master/csl-citation.json"}</w:instrText>
      </w:r>
      <w:r w:rsidRPr="00794118">
        <w:rPr>
          <w:sz w:val="24"/>
          <w:szCs w:val="24"/>
        </w:rPr>
        <w:fldChar w:fldCharType="separate"/>
      </w:r>
      <w:r w:rsidRPr="00794118">
        <w:rPr>
          <w:noProof/>
          <w:sz w:val="24"/>
          <w:szCs w:val="24"/>
        </w:rPr>
        <w:t>(Edmunds et al. 2015; Rasul et al. 2011)</w:t>
      </w:r>
      <w:r w:rsidRPr="00794118">
        <w:rPr>
          <w:sz w:val="24"/>
          <w:szCs w:val="24"/>
        </w:rPr>
        <w:fldChar w:fldCharType="end"/>
      </w:r>
      <w:r w:rsidRPr="00794118">
        <w:rPr>
          <w:sz w:val="24"/>
          <w:szCs w:val="24"/>
        </w:rPr>
        <w:t xml:space="preserve">. Hsu et al (2016) melaporkan beberapa kasus dengan overt hipertiroid setelah pasien menggunakan ART selama beberapa tahun, dengan rentang 23 sampai dengan 93 bulan. Pada laporan kasus ini pasien tidak memiliki faktor risiko ataupun riwayat penyakit tiroid sebelumnya </w:t>
      </w:r>
      <w:r w:rsidRPr="00794118">
        <w:rPr>
          <w:sz w:val="24"/>
          <w:szCs w:val="24"/>
        </w:rPr>
        <w:fldChar w:fldCharType="begin" w:fldLock="1"/>
      </w:r>
      <w:r w:rsidRPr="00794118">
        <w:rPr>
          <w:sz w:val="24"/>
          <w:szCs w:val="24"/>
        </w:rPr>
        <w:instrText>ADDIN CSL_CITATION {"citationItems":[{"id":"ITEM-1","itemData":{"DOI":"10.1089/aid.2015.0374","ISSN":"19318405","PMID":"26887978","abstract":"We describe an HIV-infected patient initiated on combined antiretroviral therapy (cART) who subsequently developed immune restoration disease (IRD) hyperthyroidism - this case represents one of five such patients seen at our center within the past year. Similar to previous reports of hyperthyroidism due to IRD, all of our patients experienced a rapid early recovery in total CD4 count, but developed symptoms of hyperthyroidism on average 3 years (38 months) after beginning cART, which represents a longer time frame than previously reported. Awareness and recognition of this potential complication of cART, which may occur years after treatment initiation, will allow patients with immune restorative hyperthyroidism to receive timely therapy and avoid the long-term complications associated with undiagnosed thyroid disease.","author":[{"dropping-particle":"","family":"Hsu","given":"Emory","non-dropping-particle":"","parse-names":false,"suffix":""},{"dropping-particle":"","family":"Phadke","given":"Varun K.","non-dropping-particle":"","parse-names":false,"suffix":""},{"dropping-particle":"","family":"Nguyen","given":"Minh Ly T.","non-dropping-particle":"","parse-names":false,"suffix":""}],"container-title":"AIDS Research and Human Retroviruses","id":"ITEM-1","issue":"6","issued":{"date-parts":[["2016"]]},"page":"564-566","title":"Short communication: Hyperthyroidism in human immunodeficiency virus patients on combined antiretroviral therapy: Case series and literature review","type":"article-journal","volume":"32"},"uris":["http://www.mendeley.com/documents/?uuid=7874a9cf-00d7-40cf-8638-b200289f15ea"]}],"mendeley":{"formattedCitation":"(Hsu, Phadke, and Nguyen 2016)","plainTextFormattedCitation":"(Hsu, Phadke, and Nguyen 2016)","previouslyFormattedCitation":"(Hsu, Phadke, and Nguyen 2016)"},"properties":{"noteIndex":0},"schema":"https://github.com/citation-style-language/schema/raw/master/csl-citation.json"}</w:instrText>
      </w:r>
      <w:r w:rsidRPr="00794118">
        <w:rPr>
          <w:sz w:val="24"/>
          <w:szCs w:val="24"/>
        </w:rPr>
        <w:fldChar w:fldCharType="separate"/>
      </w:r>
      <w:r w:rsidRPr="00794118">
        <w:rPr>
          <w:noProof/>
          <w:sz w:val="24"/>
          <w:szCs w:val="24"/>
        </w:rPr>
        <w:t>(Hsu, Phadke, and Nguyen 2016)</w:t>
      </w:r>
      <w:r w:rsidRPr="00794118">
        <w:rPr>
          <w:sz w:val="24"/>
          <w:szCs w:val="24"/>
        </w:rPr>
        <w:fldChar w:fldCharType="end"/>
      </w:r>
      <w:r w:rsidRPr="00794118">
        <w:rPr>
          <w:sz w:val="24"/>
          <w:szCs w:val="24"/>
        </w:rPr>
        <w:t xml:space="preserve">. Selain berhubungan dengan sistem imun, terjadinya overt hipertiroid pada HIV juga berhubungan dengan terapi non-NNRTI </w:t>
      </w:r>
      <w:r w:rsidRPr="00794118">
        <w:rPr>
          <w:i/>
          <w:iCs/>
          <w:sz w:val="24"/>
          <w:szCs w:val="24"/>
        </w:rPr>
        <w:t>(Nucleoside/Nucleotide Reverse Transcriptase Inhibitors</w:t>
      </w:r>
      <w:r w:rsidRPr="00794118">
        <w:rPr>
          <w:sz w:val="24"/>
          <w:szCs w:val="24"/>
        </w:rPr>
        <w:t xml:space="preserve">) terutama Evafirenz </w:t>
      </w:r>
      <w:r w:rsidRPr="00794118">
        <w:rPr>
          <w:sz w:val="24"/>
          <w:szCs w:val="24"/>
        </w:rPr>
        <w:fldChar w:fldCharType="begin" w:fldLock="1"/>
      </w:r>
      <w:r w:rsidRPr="00794118">
        <w:rPr>
          <w:sz w:val="24"/>
          <w:szCs w:val="24"/>
        </w:rPr>
        <w:instrText>ADDIN CSL_CITATION {"citationItems":[{"id":"ITEM-1","itemData":{"DOI":"10.1155/2011/743597","ISSN":"20901240","abstract":"Graves' disease after the initiation of highly active antiretroviral therapy (HAART) in certain HIV-1-infected individuals has been described as an immune reconstitution inflammatory syndrome (IRIS). This phenomenon should be suspected in individuals who present with clinical deterioration and a presentation suggestive of hyperthyroidism despite good virological and immunological response to HAART. Signs and symptoms of hyperthyroidism may be discrete or overt and typically develop 8-33 months after initiating therapy. One to two percent of HIV-infected patients can present with overt thyroid disease. Relatively few cases of Graves' IRIS have been reported in the literature to date. We describe four cases of Graves' IRIS in HIV-infected patients who were started on HAART therapy. © 2011 Samad Rasul et al.","author":[{"dropping-particle":"","family":"Rasul","given":"Samad","non-dropping-particle":"","parse-names":false,"suffix":""},{"dropping-particle":"","family":"Delapenha","given":"Robert","non-dropping-particle":"","parse-names":false,"suffix":""},{"dropping-particle":"","family":"Farhat","given":"Faria","non-dropping-particle":"","parse-names":false,"suffix":""},{"dropping-particle":"","family":"Gajjala","given":"Jhansi","non-dropping-particle":"","parse-names":false,"suffix":""},{"dropping-particle":"","family":"Zahra","given":"Syeda Mehreen","non-dropping-particle":"","parse-names":false,"suffix":""}],"container-title":"AIDS Research and Treatment","id":"ITEM-1","issued":{"date-parts":[["2011"]]},"title":"Graves' disease as a manifestation of immune reconstitution in HIV-infected individuals after initiation of highly active antiretroviral therapy","type":"article-journal","volume":"2011"},"uris":["http://www.mendeley.com/documents/?uuid=60b94dcf-1581-45ff-9983-ffa12306f9e7"]}],"mendeley":{"formattedCitation":"(Rasul et al. 2011)","plainTextFormattedCitation":"(Rasul et al. 2011)","previouslyFormattedCitation":"(Rasul et al. 2011)"},"properties":{"noteIndex":0},"schema":"https://github.com/citation-style-language/schema/raw/master/csl-citation.json"}</w:instrText>
      </w:r>
      <w:r w:rsidRPr="00794118">
        <w:rPr>
          <w:sz w:val="24"/>
          <w:szCs w:val="24"/>
        </w:rPr>
        <w:fldChar w:fldCharType="separate"/>
      </w:r>
      <w:r w:rsidRPr="00794118">
        <w:rPr>
          <w:noProof/>
          <w:sz w:val="24"/>
          <w:szCs w:val="24"/>
        </w:rPr>
        <w:t>(Rasul et al. 2011)</w:t>
      </w:r>
      <w:r w:rsidRPr="00794118">
        <w:rPr>
          <w:sz w:val="24"/>
          <w:szCs w:val="24"/>
        </w:rPr>
        <w:fldChar w:fldCharType="end"/>
      </w:r>
      <w:r w:rsidRPr="00794118">
        <w:rPr>
          <w:sz w:val="24"/>
          <w:szCs w:val="24"/>
        </w:rPr>
        <w:t xml:space="preserve">. Presentasi klinis Penyakit Graves yang jelas memerlukan monitoring fungsi tiroid seiring dengan berjalannya waktu dan perbaikan sistem imun </w:t>
      </w:r>
      <w:r w:rsidRPr="00794118">
        <w:rPr>
          <w:sz w:val="24"/>
          <w:szCs w:val="24"/>
        </w:rPr>
        <w:fldChar w:fldCharType="begin" w:fldLock="1"/>
      </w:r>
      <w:r w:rsidRPr="00794118">
        <w:rPr>
          <w:sz w:val="24"/>
          <w:szCs w:val="24"/>
        </w:rPr>
        <w:instrText>ADDIN CSL_CITATION {"citationItems":[{"id":"ITEM-1","itemData":{"author":[{"dropping-particle":"","family":"Iordache","given":"Laura","non-dropping-particle":"","parse-names":false,"suffix":""},{"dropping-particle":"","family":"Launay","given":"Odile","non-dropping-particle":"","parse-names":false,"suffix":""},{"dropping-particle":"","family":"Bouchaud","given":"Olivier","non-dropping-particle":"","parse-names":false,"suffix":""},{"dropping-particle":"","family":"Jeantils","given":"Vincent","non-dropping-particle":"","parse-names":false,"suffix":""},{"dropping-particle":"","family":"Goujard","given":"Cécile","non-dropping-particle":"","parse-names":false,"suffix":""},{"dropping-particle":"","family":"Boue","given":"Francois","non-dropping-particle":"","parse-names":false,"suffix":""},{"dropping-particle":"","family":"K","given":"Patrice Cacoub","non-dropping-particle":"","parse-names":false,"suffix":""},{"dropping-particle":"","family":"Hanslik","given":"Thomas","non-dropping-particle":"","parse-names":false,"suffix":""},{"dropping-particle":"","family":"Mahr","given":"Alfred","non-dropping-particle":"","parse-names":false,"suffix":""},{"dropping-particle":"","family":"Lambotte","given":"Olivier","non-dropping-particle":"","parse-names":false,"suffix":""},{"dropping-particle":"","family":"Fain","given":"Olivier","non-dropping-particle":"","parse-names":false,"suffix":""}],"container-title":"Elsevier","id":"ITEM-1","issue":"8","issued":{"date-parts":[["2014"]]},"page":"850-7","title":"Autoimmune diseases in HIV-infected patients: 52 cases and literature review","type":"article-journal","volume":"13"},"uris":["http://www.mendeley.com/documents/?uuid=761e6585-d9e6-4097-99dc-85d9d21b52df"]}],"mendeley":{"formattedCitation":"(Iordache et al. 2014)","plainTextFormattedCitation":"(Iordache et al. 2014)","previouslyFormattedCitation":"(Iordache et al. 2014)"},"properties":{"noteIndex":0},"schema":"https://github.com/citation-style-language/schema/raw/master/csl-citation.json"}</w:instrText>
      </w:r>
      <w:r w:rsidRPr="00794118">
        <w:rPr>
          <w:sz w:val="24"/>
          <w:szCs w:val="24"/>
        </w:rPr>
        <w:fldChar w:fldCharType="separate"/>
      </w:r>
      <w:r w:rsidRPr="00794118">
        <w:rPr>
          <w:noProof/>
          <w:sz w:val="24"/>
          <w:szCs w:val="24"/>
        </w:rPr>
        <w:t>(Iordache et al. 2014)</w:t>
      </w:r>
      <w:r w:rsidRPr="00794118">
        <w:rPr>
          <w:sz w:val="24"/>
          <w:szCs w:val="24"/>
        </w:rPr>
        <w:fldChar w:fldCharType="end"/>
      </w:r>
      <w:r w:rsidRPr="00794118">
        <w:rPr>
          <w:sz w:val="24"/>
          <w:szCs w:val="24"/>
        </w:rPr>
        <w:t>.</w:t>
      </w:r>
    </w:p>
    <w:p w14:paraId="413D6B53" w14:textId="77777777" w:rsidR="00B21F17" w:rsidRPr="00794118" w:rsidRDefault="00B21F17" w:rsidP="00B21F17">
      <w:pPr>
        <w:spacing w:after="0" w:line="240" w:lineRule="auto"/>
        <w:rPr>
          <w:sz w:val="24"/>
          <w:szCs w:val="24"/>
        </w:rPr>
      </w:pPr>
    </w:p>
    <w:p w14:paraId="3BF27D80" w14:textId="77777777" w:rsidR="00794118" w:rsidRDefault="00794118" w:rsidP="00B21F17">
      <w:pPr>
        <w:spacing w:after="0" w:line="240" w:lineRule="auto"/>
        <w:rPr>
          <w:sz w:val="24"/>
          <w:szCs w:val="24"/>
        </w:rPr>
      </w:pPr>
      <w:r w:rsidRPr="00794118">
        <w:rPr>
          <w:sz w:val="24"/>
          <w:szCs w:val="24"/>
        </w:rPr>
        <w:t xml:space="preserve">Hati merupakan organ penting pada metabolisme tiroid, hati berperan dalam konversi perifer tetraiodothyronine (T4) menjadi tri-iodothyronine (T3) oleh enzim deiodinase tipe I </w:t>
      </w:r>
      <w:r w:rsidRPr="00794118">
        <w:rPr>
          <w:sz w:val="24"/>
          <w:szCs w:val="24"/>
        </w:rPr>
        <w:fldChar w:fldCharType="begin" w:fldLock="1"/>
      </w:r>
      <w:r w:rsidRPr="00794118">
        <w:rPr>
          <w:sz w:val="24"/>
          <w:szCs w:val="24"/>
        </w:rPr>
        <w:instrText>ADDIN CSL_CITATION {"citationItems":[{"id":"ITEM-1","itemData":{"DOI":"10.1053/j.gastro.2008.02.075","ISSN":"00165085","PMID":"18471514","abstract":"Background &amp; Aims: There is a paucity of data on hepatitis B virus (HBV) DNA levels and histologic lesions in patients with chronic HBV (CHBV) infection and persistently normal alanine aminotransferase (ALT) levels (PNALT). We studied the ALT, HBV DNA levels, and spectrum of histologic lesions in such patients. Methods: One thousand three hundred eighty-seven</w:instrText>
      </w:r>
      <w:r w:rsidRPr="00794118">
        <w:rPr>
          <w:rFonts w:hint="eastAsia"/>
          <w:sz w:val="24"/>
          <w:szCs w:val="24"/>
        </w:rPr>
        <w:instrText xml:space="preserve"> incidentally detected asymptomatic hepatitis B surface antigen (HBsAg)-positive patients with </w:instrText>
      </w:r>
      <w:r w:rsidRPr="00794118">
        <w:rPr>
          <w:rFonts w:hint="eastAsia"/>
          <w:sz w:val="24"/>
          <w:szCs w:val="24"/>
        </w:rPr>
        <w:instrText>≥</w:instrText>
      </w:r>
      <w:r w:rsidRPr="00794118">
        <w:rPr>
          <w:rFonts w:hint="eastAsia"/>
          <w:sz w:val="24"/>
          <w:szCs w:val="24"/>
        </w:rPr>
        <w:instrText xml:space="preserve">1-year follow-up and either PNALT (n = 189; hepatitis B e antigen [HBeAg+], 73; HBeAg-, 116) or persistently or intermittently elevated ALT (PIEALT; n = 1198; HBeAg+, 530; HBeAg-, 668) were included. Results: In the PIEALT and PNALT patients, baseline DNA </w:instrText>
      </w:r>
      <w:r w:rsidRPr="00794118">
        <w:rPr>
          <w:rFonts w:hint="eastAsia"/>
          <w:sz w:val="24"/>
          <w:szCs w:val="24"/>
        </w:rPr>
        <w:instrText>≥</w:instrText>
      </w:r>
      <w:r w:rsidRPr="00794118">
        <w:rPr>
          <w:rFonts w:hint="eastAsia"/>
          <w:sz w:val="24"/>
          <w:szCs w:val="24"/>
        </w:rPr>
        <w:instrText xml:space="preserve">5-log copies/mL was seen in 73.8% and 60.3% in HBeAg+ (P = .018) and 76% and 35.3% in HBeAg- (P &lt; .001) patients and histologic fibrosis stage </w:instrText>
      </w:r>
      <w:r w:rsidRPr="00794118">
        <w:rPr>
          <w:rFonts w:hint="eastAsia"/>
          <w:sz w:val="24"/>
          <w:szCs w:val="24"/>
        </w:rPr>
        <w:instrText>≥</w:instrText>
      </w:r>
      <w:r w:rsidRPr="00794118">
        <w:rPr>
          <w:rFonts w:hint="eastAsia"/>
          <w:sz w:val="24"/>
          <w:szCs w:val="24"/>
        </w:rPr>
        <w:instrText xml:space="preserve">2 in 65.5% and 40.2% in HBeAg+ (P &lt; .001) and 63.9% and 13.8% in HBeAg- (P &lt; .001) patients, respectively. Approximately 21% of HBeAg- patients with PNALT and HBV DNA &lt;5-log copies/mL had histologically active liver disease (histologic activity index </w:instrText>
      </w:r>
      <w:r w:rsidRPr="00794118">
        <w:rPr>
          <w:rFonts w:hint="eastAsia"/>
          <w:sz w:val="24"/>
          <w:szCs w:val="24"/>
        </w:rPr>
        <w:instrText>≥</w:instrText>
      </w:r>
      <w:r w:rsidRPr="00794118">
        <w:rPr>
          <w:rFonts w:hint="eastAsia"/>
          <w:sz w:val="24"/>
          <w:szCs w:val="24"/>
        </w:rPr>
        <w:instrText xml:space="preserve">3 and/or fibrosis stage </w:instrText>
      </w:r>
      <w:r w:rsidRPr="00794118">
        <w:rPr>
          <w:rFonts w:hint="eastAsia"/>
          <w:sz w:val="24"/>
          <w:szCs w:val="24"/>
        </w:rPr>
        <w:instrText>≥</w:instrText>
      </w:r>
      <w:r w:rsidRPr="00794118">
        <w:rPr>
          <w:rFonts w:hint="eastAsia"/>
          <w:sz w:val="24"/>
          <w:szCs w:val="24"/>
        </w:rPr>
        <w:instrText xml:space="preserve">2). Conclusions: A fair proportion of patients with CHBV infection with PNALT have HBV DNA </w:instrText>
      </w:r>
      <w:r w:rsidRPr="00794118">
        <w:rPr>
          <w:rFonts w:hint="eastAsia"/>
          <w:sz w:val="24"/>
          <w:szCs w:val="24"/>
        </w:rPr>
        <w:instrText>≥</w:instrText>
      </w:r>
      <w:r w:rsidRPr="00794118">
        <w:rPr>
          <w:rFonts w:hint="eastAsia"/>
          <w:sz w:val="24"/>
          <w:szCs w:val="24"/>
        </w:rPr>
        <w:instrText xml:space="preserve">5-log copies/mL and significant histologic fibrosis. Use of ALT and HBV DNA levels without resorting to liver biopsy to define \"inactive carrier state\" </w:instrText>
      </w:r>
      <w:r w:rsidRPr="00794118">
        <w:rPr>
          <w:sz w:val="24"/>
          <w:szCs w:val="24"/>
        </w:rPr>
        <w:instrText>in HBeAg- PNALT patients may miss histologically significant disease in a proportion of patients. © 2008 AGA Institute.","author":[{"dropping-particle":"","family":"Kumar","given":"Manoj","non-dropping-particle":"","parse-names":false,"suffix":""},{"dropping-particle":"","family":"Sarin","given":"Shiv K.","non-dropping-particle":"","parse-names":false,"suffix":""},{"dropping-particle":"","family":"Hissar","given":"Syed","non-dropping-particle":"","parse-names":false,"suffix":""},{"dropping-particle":"","family":"Pande","given":"Chandana","non-dropping-particle":"","parse-names":false,"suffix":""},{"dropping-particle":"","family":"Sakhuja","given":"Puja","non-dropping-particle":"","parse-names":false,"suffix":""},{"dropping-particle":"","family":"Sharma","given":"Barjesh Chander","non-dropping-particle":"","parse-names":false,"suffix":""},{"dropping-particle":"","family":"Chauhan","given":"Ranjit","non-dropping-particle":"","parse-names":false,"suffix":""},{"dropping-particle":"","family":"Bose","given":"Sujoy","non-dropping-particle":"","parse-names":false,"suffix":""}],"container-title":"Gastroenterology","id":"ITEM-1","issue":"5","issued":{"date-parts":[["2008"]]},"page":"1376-1384","title":"Virologic and Histologic Features of Chronic Hepatitis B Virus-Infected Asymptomatic Patients With Persistently Normal ALT","type":"article-journal","volume":"134"},"uris":["http://www.mendeley.com/documents/?uuid=9c498ef3-5535-4af8-8974-4ef2baaf6a2d"]}],"mendeley":{"formattedCitation":"(Kumar et al. 2008)","plainTextFormattedCitation":"(Kumar et al. 2008)","previouslyFormattedCitation":"(Kumar et al. 2008)"},"properties":{"noteIndex":0},"schema":"https://github.com/citation-style-language/schema/raw/master/csl-citation.json"}</w:instrText>
      </w:r>
      <w:r w:rsidRPr="00794118">
        <w:rPr>
          <w:sz w:val="24"/>
          <w:szCs w:val="24"/>
        </w:rPr>
        <w:fldChar w:fldCharType="separate"/>
      </w:r>
      <w:r w:rsidRPr="00794118">
        <w:rPr>
          <w:noProof/>
          <w:sz w:val="24"/>
          <w:szCs w:val="24"/>
        </w:rPr>
        <w:t>(Kumar et al. 2008)</w:t>
      </w:r>
      <w:r w:rsidRPr="00794118">
        <w:rPr>
          <w:sz w:val="24"/>
          <w:szCs w:val="24"/>
        </w:rPr>
        <w:fldChar w:fldCharType="end"/>
      </w:r>
      <w:r w:rsidRPr="00794118">
        <w:rPr>
          <w:sz w:val="24"/>
          <w:szCs w:val="24"/>
        </w:rPr>
        <w:t xml:space="preserve">. Enzim deiodinase tipe I, merupakan enzim yang paling berperan dalam metabolisme tiroid di hati, berperan dalam produksi 3%0-40% tri-iodothyronine ekstra-tiroid. Pada pasien dengan sirosis, gambaran khas abnormalitas hormon tiroid adalah penungkatan TSH, penurunan T3 bebas, dan peningkatan </w:t>
      </w:r>
      <w:r w:rsidRPr="00794118">
        <w:rPr>
          <w:i/>
          <w:iCs/>
          <w:sz w:val="24"/>
          <w:szCs w:val="24"/>
        </w:rPr>
        <w:t>reverse</w:t>
      </w:r>
      <w:r w:rsidRPr="00794118">
        <w:rPr>
          <w:sz w:val="24"/>
          <w:szCs w:val="24"/>
        </w:rPr>
        <w:t xml:space="preserve"> T3, peningkatan T4 bebas. Penurunan aktivitas enzim deiodinase tipe I menurunakan konversi T4 menjadi T3 </w:t>
      </w:r>
      <w:r w:rsidRPr="00794118">
        <w:rPr>
          <w:sz w:val="24"/>
          <w:szCs w:val="24"/>
        </w:rPr>
        <w:fldChar w:fldCharType="begin" w:fldLock="1"/>
      </w:r>
      <w:r w:rsidRPr="00794118">
        <w:rPr>
          <w:sz w:val="24"/>
          <w:szCs w:val="24"/>
        </w:rPr>
        <w:instrText>ADDIN CSL_CITATION {"citationItems":[{"id":"ITEM-1","itemData":{"DOI":"10.7860/JCDR/2017/28033.10973","ISSN":"0973709X","abstract":"Introduction: Liver plays an important role in the metabolism of thyroid hormones. It also has a dominant role in the production and secretion of thyroid binding globulin. So, patients of cirrhosis of liver may be clinically euthyroid but thyroid hormones and thyroid binding globulin are altered. Low free T3 and free T4 along with increased reverse T3 (rT3) and decreased T3:T4 ratio are the common alterations observed in thyroid profile of such patients. Aim: To evaluate thyroid profile in patients with cirrhosis of liver; and correlation of thyroid profile with clinical and biochemical parameters of severity in patients with cirrhosis of liver. Materials and Methods: A cross-sectional observational study was conducted at a tertiary care hospital evaluating thyroid profile in 102 patients with cirrhosis of liver. Results: Low free T3 and T4 was found in 72.5% and 26.47% of patients with cirrhosis of liver respectively. TSH towards the upper limit of normal range was observed in 52.3% of patients. Low free T3 and free T4 was found to be inversely related to the severity of liver disease. A significant correlation was also found between low free T3 levels, hyponatremia (p=0.004) and raised INR (p=0.038). Similarly, a significant correlation was also observed between low free T4 levels, serum bilirubin (p=0.049) and SGPT (p=0.008) levels. Conclusion: Derangement in thyroid profile is common in patients with cirrhosis of liver. Low free T3 and T4 levels are associated with more severe liver injury and so may be used for prognostication in patients with cirrhosis of liver.","author":[{"dropping-particle":"","family":"Verma","given":"Sudhir Kumar","non-dropping-particle":"","parse-names":false,"suffix":""},{"dropping-particle":"","family":"Kumar","given":"Vivek","non-dropping-particle":"","parse-names":false,"suffix":""},{"dropping-particle":"","family":"Tiwari","given":"Pradyot","non-dropping-particle":"","parse-names":false,"suffix":""},{"dropping-particle":"","family":"Joge","given":"Nikhil Kumar P.","non-dropping-particle":"","parse-names":false,"suffix":""},{"dropping-particle":"","family":"Misra","given":"Ravi","non-dropping-particle":"","parse-names":false,"suffix":""}],"container-title":"Journal of Clinical and Diagnostic Research","id":"ITEM-1","issue":"12","issued":{"date-parts":[["2017"]]},"page":"OC06-OC09","title":"Thyroid profile in patients of cirrhosis of liver: A cross-sectional study","type":"article-journal","volume":"11"},"uris":["http://www.mendeley.com/documents/?uuid=078feb81-0674-42e9-a4d2-1d8a96cb596c"]}],"mendeley":{"formattedCitation":"(Verma et al. 2017)","plainTextFormattedCitation":"(Verma et al. 2017)","previouslyFormattedCitation":"(Verma et al. 2017)"},"properties":{"noteIndex":0},"schema":"https://github.com/citation-style-language/schema/raw/master/csl-citation.json"}</w:instrText>
      </w:r>
      <w:r w:rsidRPr="00794118">
        <w:rPr>
          <w:sz w:val="24"/>
          <w:szCs w:val="24"/>
        </w:rPr>
        <w:fldChar w:fldCharType="separate"/>
      </w:r>
      <w:r w:rsidRPr="00794118">
        <w:rPr>
          <w:noProof/>
          <w:sz w:val="24"/>
          <w:szCs w:val="24"/>
        </w:rPr>
        <w:t>(Verma et al. 2017)</w:t>
      </w:r>
      <w:r w:rsidRPr="00794118">
        <w:rPr>
          <w:sz w:val="24"/>
          <w:szCs w:val="24"/>
        </w:rPr>
        <w:fldChar w:fldCharType="end"/>
      </w:r>
      <w:r w:rsidRPr="00794118">
        <w:rPr>
          <w:sz w:val="24"/>
          <w:szCs w:val="24"/>
        </w:rPr>
        <w:t xml:space="preserve">. Akibatnya, hipotiroid dan </w:t>
      </w:r>
      <w:r w:rsidRPr="00794118">
        <w:rPr>
          <w:i/>
          <w:iCs/>
          <w:sz w:val="24"/>
          <w:szCs w:val="24"/>
        </w:rPr>
        <w:t>low T3 syndrome</w:t>
      </w:r>
      <w:r w:rsidRPr="00794118">
        <w:rPr>
          <w:sz w:val="24"/>
          <w:szCs w:val="24"/>
        </w:rPr>
        <w:t xml:space="preserve"> merupakan kelainan tiroid yang sering terjadi pada pasien dengan sirosis </w:t>
      </w:r>
      <w:r w:rsidRPr="00794118">
        <w:rPr>
          <w:sz w:val="24"/>
          <w:szCs w:val="24"/>
        </w:rPr>
        <w:fldChar w:fldCharType="begin" w:fldLock="1"/>
      </w:r>
      <w:r w:rsidRPr="00794118">
        <w:rPr>
          <w:sz w:val="24"/>
          <w:szCs w:val="24"/>
        </w:rPr>
        <w:instrText>ADDIN CSL_CITATION {"citationItems":[{"id":"ITEM-1","itemData":{"author":[{"dropping-particle":"","family":"Mansour-Ghanaei","given":"Fariborz","non-dropping-particle":"","parse-names":false,"suffix":""},{"dropping-particle":"","family":"Mehrdad","given":"Mojtaba","non-dropping-particle":"","parse-names":false,"suffix":""},{"dropping-particle":"","family":"Mortazavi","given":"Sahereh","non-dropping-particle":"","parse-names":false,"suffix":""},{"dropping-particle":"","family":"Joukar","given":"Farahnaz","non-dropping-particle":"","parse-names":false,"suffix":""},{"dropping-particle":"","family":"Khak","given":"Mohammad","non-dropping-particle":"","parse-names":false,"suffix":""},{"dropping-particle":"","family":"Atrkar-Roushan","given":"Zahra","non-dropping-particle":"","parse-names":false,"suffix":""}],"container-title":"Ann Hepatol","id":"ITEM-1","issue":"5","issued":{"date-parts":[["2012"]]},"page":"667-71","title":"Decreased serum total T3 level in hepatitis B and C related cirrhosis by severity of liver damage","type":"article-journal","volume":"11"},"uris":["http://www.mendeley.com/documents/?uuid=6ab0ba53-684e-4fc3-b637-4d45e7e07f83"]}],"mendeley":{"formattedCitation":"(Mansour-Ghanaei et al. 2012)","plainTextFormattedCitation":"(Mansour-Ghanaei et al. 2012)","previouslyFormattedCitation":"(Mansour-Ghanaei et al. 2012)"},"properties":{"noteIndex":0},"schema":"https://github.com/citation-style-language/schema/raw/master/csl-citation.json"}</w:instrText>
      </w:r>
      <w:r w:rsidRPr="00794118">
        <w:rPr>
          <w:sz w:val="24"/>
          <w:szCs w:val="24"/>
        </w:rPr>
        <w:fldChar w:fldCharType="separate"/>
      </w:r>
      <w:r w:rsidRPr="00794118">
        <w:rPr>
          <w:noProof/>
          <w:sz w:val="24"/>
          <w:szCs w:val="24"/>
        </w:rPr>
        <w:t>(Mansour-Ghanaei et al. 2012)</w:t>
      </w:r>
      <w:r w:rsidRPr="00794118">
        <w:rPr>
          <w:sz w:val="24"/>
          <w:szCs w:val="24"/>
        </w:rPr>
        <w:fldChar w:fldCharType="end"/>
      </w:r>
      <w:r w:rsidRPr="00794118">
        <w:rPr>
          <w:sz w:val="24"/>
          <w:szCs w:val="24"/>
        </w:rPr>
        <w:t xml:space="preserve">. Selain hati yang berperan dalam terjadinya kelainan pada fungsi hormon tiroid, hipertiroid pun berperan dalam disfungsi hati. Terdapat beberapa mekanisme langsung dan </w:t>
      </w:r>
      <w:r w:rsidRPr="00794118">
        <w:rPr>
          <w:sz w:val="24"/>
          <w:szCs w:val="24"/>
        </w:rPr>
        <w:lastRenderedPageBreak/>
        <w:t xml:space="preserve">tidak langsung untuk terjadinya disfungsi hati pada hipertiroid. Toksisitas langsung dari hormon tiroid pada hati adalah dengan paparan lama dari kelebihan hormon tiroid dan anoksia hepatosit dengan kerusakan akibat radikal bebas akibat dari status hipermetabolisme, degenerasi sel hati akibat akselerasi glikogen hati dan dekomposisi protein, autoimun, kongestif hepatopati akibat gagal jantung tirotoksikosis, dan akibat pengobatan hipertiroid yang berefek samping pada hati </w:t>
      </w:r>
      <w:r w:rsidRPr="00794118">
        <w:rPr>
          <w:sz w:val="24"/>
          <w:szCs w:val="24"/>
        </w:rPr>
        <w:fldChar w:fldCharType="begin" w:fldLock="1"/>
      </w:r>
      <w:r w:rsidRPr="00794118">
        <w:rPr>
          <w:sz w:val="24"/>
          <w:szCs w:val="24"/>
        </w:rPr>
        <w:instrText>ADDIN CSL_CITATION {"citationItems":[{"id":"ITEM-1","itemData":{"DOI":"10.1155/2014/790458","ISSN":"16879635","abstract":"Hepatic dysfunction in a patient with thyrotoxicosis may result from hyperthyroidism per se, as a side effect of antithyroid drugs, and causes unrelated to hyperthyroidism which sometimes causes diagnostic and therapeutic difficulties. A young female patient was admitted to our hospital with symptoms of thyrotoxicosis, diffuse goiter and ophthalmopathy along with cholestatic pattern of jaundice, and proximal muscle weakness. She was treated with propylthiouracil with gradual recovery. She was continuing her antithyroid medication with regular follow-up. The patient was readmitted a few months later with worsening thyrotoxicosis, proximal muscle weakness, fever, and a hepatocellular pattern of jaundice with sepsis. Propylthiouracil was stopped and lithium along with steroid coverage was given to control her thyrotoxicosis which was later changed to methimazole. Broad spectrum antibiotic therapy was also started but without any response.During her hospital stay, the patient also developed a flaccid paraplegia resemblingGuillain-Barre syndrome. IV steroid was started for the neuropathy butmeanwhile the patient succumbed to her illness. So in centers where facility for radioiodine therapy is not readily available, some definite well-tested protocols should be formulated to address such common but complicated clinical situations.","author":[{"dropping-particle":"","family":"Bhuyan","given":"Ashok Krishna","non-dropping-particle":"","parse-names":false,"suffix":""},{"dropping-particle":"","family":"Sarma","given":"Dipti","non-dropping-particle":"","parse-names":false,"suffix":""},{"dropping-particle":"","family":"Saikia","given":"Uma Kaimal","non-dropping-particle":"","parse-names":false,"suffix":""},{"dropping-particle":"","family":"Choudhury","given":"Bipul Kumar","non-dropping-particle":"","parse-names":false,"suffix":""}],"container-title":"Case Reports in Medicine","id":"ITEM-1","issued":{"date-parts":[["2014"]]},"title":"Grave's disease with severe hepatic dysfunction: A diagnostic and therapeutic challenge","type":"article-journal","volume":"2014"},"uris":["http://www.mendeley.com/documents/?uuid=effff4cf-7c9d-455a-aaad-3105fd9d1b48"]},{"id":"ITEM-2","itemData":{"DOI":"10.2147/CEG.S39358","ISSN":"11787023","abstract":"Liver dysfunction in patients with hyperthyroidism includes abnormalities associated with the effects of thyroid hormone excess, those secondary to drug-induced liver injury, and changes resulting from concomitant liver disease. Our goal was to describe clinical, biochemical, and histopathological patterns in patients suffering from hyperthyroidism and concomitant liver dysfunction and to propose an algorithm of procedures to facilitate diagnosis and management of such cases. This study describes seven patients with liver biochemistry abnormalities detected after diagnosis of hyperthyroidism and one with undiagnosed decompensated hyperthyroidism and acute hepatitis. Two patients showed autoantibody reactivity which, together with liver histology, suggested the diagnosis of classic autoimmune hepatitis. Three patients experienced hepatotoxicity induced by propylthiouracil, the manifestations of which ranged from a benign course after drug withdrawal in one, a longstanding course in another suggesting drug-induced autoimmune hepatitis, and a more severe clinical condition with acute liver failure in a third patient, requiring liver transplantation. The three remaining patients showed no precipitating factors other than thyroid hyperactivity itself. They could be interpreted as having a thyroid storm with different clinical presentations. In conclusion, this series of patients illustrates the most frequent patterns of hepatocellular damage associated with hyperthyroidism and provides an algorithm for their diagnosis and treatment. © 2013 Mazo et al, publisher and licensee Dove Medical Press Ltd.","author":[{"dropping-particle":"","family":"Mazo","given":"Daniel Ferraz de Campos","non-dropping-particle":"","parse-names":false,"suffix":""},{"dropping-particle":"","family":"Vasconcelos","given":"Graciana Bandeira Salgado","non-dropping-particle":"de","parse-names":false,"suffix":""},{"dropping-particle":"","family":"Pereira","given":"Maria Adelaide Albergaria","non-dropping-particle":"","parse-names":false,"suffix":""},{"dropping-particle":"","family":"Mello","given":"Evandro Sobroza","non-dropping-particle":"de","parse-names":false,"suffix":""},{"dropping-particle":"","family":"Bacchella","given":"Telesforo","non-dropping-particle":"","parse-names":false,"suffix":""},{"dropping-particle":"","family":"Carrilho","given":"Flair Jose","non-dropping-particle":"","parse-names":false,"suffix":""},{"dropping-particle":"","family":"Cançado","given":"Eduardo Luiz Rachid","non-dropping-particle":"","parse-names":false,"suffix":""}],"container-title":"Clinical and Experimental Gastroenterology","id":"ITEM-2","issue":"1","issued":{"date-parts":[["2013"]]},"page":"9-17","title":"Clinical spectrum and therapeutic approach to hepatocellular injury in patients with hyperthyroidism","type":"article-journal","volume":"6"},"uris":["http://www.mendeley.com/documents/?uuid=9d31fe2f-a3ca-459d-80c5-19ad7001bedc"]},{"id":"ITEM-3","itemData":{"DOI":"10.3923/jbs.2013.665.678","ISSN":"17273048","abstract":"Thyroid and liver are among two vital and important organs which are interrelated in health and disease. The cooperation of thyroid and liver is extremely vital for a proper functional behavior for both thyroid and liver. Liver crucial role in the basic metabolic rate, growth and development is due to the liver ability to transfer the thyroid hormone and deliver it to the various organs intracellular due to thyroid hormone transporting system which is mediated by the liver. Thyrotoxicosis defined as the clinical manifestation of hyperthyroidism, a symptom with various adverse effects on the liver, heart, vascular, nervous and gastrointestinal systems. There are many reports demonstrating the negative side effect of hyperthyroidism on liver function tests which occur due to the accompanying clinical manifestation of thyrotoxicosis. In severe form of hyperthyroidism in addition to liver biochemical alteration and elevated liver enzymes, damages to hepatocytes will occur. Therefore it is strongly recommended that subjects with either of hyperthyroid or liver dysfunction should be carefully examined simultaneously for both organs to have a clear cut diagnosis and to assist the patient with proper therapeutically treatments. © 2013 Asian Network for Scientific Information.","author":[{"dropping-particle":"","family":"Mansourian","given":"Azad Reza","non-dropping-particle":"","parse-names":false,"suffix":""}],"container-title":"Journal of Biological Sciences","id":"ITEM-3","issue":"8","issued":{"date-parts":[["2013"]]},"page":"665-678","title":"Liver functional behavior during thyrotoxicosis: A review","type":"article","volume":"13"},"uris":["http://www.mendeley.com/documents/?uuid=fa11df81-4aad-4704-8657-df5d7d35f8a8"]}],"mendeley":{"formattedCitation":"(Bhuyan et al. 2014; Mansourian 2013; Mazo et al. 2013)","plainTextFormattedCitation":"(Bhuyan et al. 2014; Mansourian 2013; Mazo et al. 2013)","previouslyFormattedCitation":"(Bhuyan et al. 2014; Mansourian 2013; Mazo et al. 2013)"},"properties":{"noteIndex":0},"schema":"https://github.com/citation-style-language/schema/raw/master/csl-citation.json"}</w:instrText>
      </w:r>
      <w:r w:rsidRPr="00794118">
        <w:rPr>
          <w:sz w:val="24"/>
          <w:szCs w:val="24"/>
        </w:rPr>
        <w:fldChar w:fldCharType="separate"/>
      </w:r>
      <w:r w:rsidRPr="00794118">
        <w:rPr>
          <w:noProof/>
          <w:sz w:val="24"/>
          <w:szCs w:val="24"/>
        </w:rPr>
        <w:t>(Bhuyan et al. 2014; Mansourian 2013; Mazo et al. 2013)</w:t>
      </w:r>
      <w:r w:rsidRPr="00794118">
        <w:rPr>
          <w:sz w:val="24"/>
          <w:szCs w:val="24"/>
        </w:rPr>
        <w:fldChar w:fldCharType="end"/>
      </w:r>
      <w:r w:rsidRPr="00794118">
        <w:rPr>
          <w:sz w:val="24"/>
          <w:szCs w:val="24"/>
        </w:rPr>
        <w:t xml:space="preserve">. Pasien kami memiliki komorbiditas HIV dan sirosis hati, dari ke-2 komorbiditas ini, HIV merupakan komorbiditas yang berhubungan dengan peningkatan hormon tiroid pasien, karena pada sirosis gambaran fungsi tiroid yang sesuai adalah hipotiroid dan </w:t>
      </w:r>
      <w:r w:rsidRPr="00794118">
        <w:rPr>
          <w:i/>
          <w:iCs/>
          <w:sz w:val="24"/>
          <w:szCs w:val="24"/>
        </w:rPr>
        <w:t>low T3 syndrome</w:t>
      </w:r>
      <w:r w:rsidRPr="00794118">
        <w:rPr>
          <w:sz w:val="24"/>
          <w:szCs w:val="24"/>
        </w:rPr>
        <w:t>.</w:t>
      </w:r>
    </w:p>
    <w:p w14:paraId="1CAF5015" w14:textId="77777777" w:rsidR="00B21F17" w:rsidRDefault="00B21F17" w:rsidP="00B21F17">
      <w:pPr>
        <w:spacing w:after="0" w:line="240" w:lineRule="auto"/>
        <w:rPr>
          <w:sz w:val="24"/>
          <w:szCs w:val="24"/>
        </w:rPr>
      </w:pPr>
    </w:p>
    <w:p w14:paraId="60C56CD7" w14:textId="77777777" w:rsidR="00794118" w:rsidRPr="00794118" w:rsidRDefault="00794118" w:rsidP="00B21F17">
      <w:pPr>
        <w:spacing w:after="0" w:line="240" w:lineRule="auto"/>
        <w:rPr>
          <w:sz w:val="24"/>
          <w:szCs w:val="24"/>
        </w:rPr>
      </w:pPr>
      <w:r w:rsidRPr="00794118">
        <w:rPr>
          <w:sz w:val="24"/>
          <w:szCs w:val="24"/>
        </w:rPr>
        <w:t xml:space="preserve">Penatalaksanaan hipertiroid pada HIV sama dengan pada populasi umum, perhatian khusus pada kasus dengan nyeri pada kelenjar tiroid dengan HIV yang memerlukan aspirasi untuk menyingkirkan infeksi oportunis dan keganasan </w:t>
      </w:r>
      <w:r w:rsidRPr="00794118">
        <w:rPr>
          <w:sz w:val="24"/>
          <w:szCs w:val="24"/>
        </w:rPr>
        <w:fldChar w:fldCharType="begin" w:fldLock="1"/>
      </w:r>
      <w:r w:rsidRPr="00794118">
        <w:rPr>
          <w:sz w:val="24"/>
          <w:szCs w:val="24"/>
        </w:rPr>
        <w:instrText>ADDIN CSL_CITATION {"citationItems":[{"id":"ITEM-1","itemData":{"author":[{"dropping-particle":"","family":"Weinberg","given":"Melissa","non-dropping-particle":"","parse-names":false,"suffix":""},{"dropping-particle":"","family":"Schambelan","given":"Morris","non-dropping-particle":"","parse-names":false,"suffix":""}],"id":"ITEM-1","issued":{"date-parts":[["2019"]]},"page":"1-9","title":"Thyroid gland dysfunction in the patient with HIV","type":"article-journal"},"uris":["http://www.mendeley.com/documents/?uuid=b06b606b-c594-4fe3-965e-829423cafa18"]}],"mendeley":{"formattedCitation":"(Weinberg and Schambelan 2019)","plainTextFormattedCitation":"(Weinberg and Schambelan 2019)","previouslyFormattedCitation":"(Weinberg and Schambelan 2019)"},"properties":{"noteIndex":0},"schema":"https://github.com/citation-style-language/schema/raw/master/csl-citation.json"}</w:instrText>
      </w:r>
      <w:r w:rsidRPr="00794118">
        <w:rPr>
          <w:sz w:val="24"/>
          <w:szCs w:val="24"/>
        </w:rPr>
        <w:fldChar w:fldCharType="separate"/>
      </w:r>
      <w:r w:rsidRPr="00794118">
        <w:rPr>
          <w:noProof/>
          <w:sz w:val="24"/>
          <w:szCs w:val="24"/>
        </w:rPr>
        <w:t>(Weinberg and Schambelan 2019)</w:t>
      </w:r>
      <w:r w:rsidRPr="00794118">
        <w:rPr>
          <w:sz w:val="24"/>
          <w:szCs w:val="24"/>
        </w:rPr>
        <w:fldChar w:fldCharType="end"/>
      </w:r>
      <w:r w:rsidRPr="00794118">
        <w:rPr>
          <w:sz w:val="24"/>
          <w:szCs w:val="24"/>
        </w:rPr>
        <w:t xml:space="preserve">. Pada krisis tiroid rejimen penatalaksanaan meliputi beberapa obat, yang masing-masing memiliki mekanisme kerja yang berbeda. Penatalaksanaan dari krisis tiroid meliputi </w:t>
      </w:r>
      <w:r w:rsidRPr="00794118">
        <w:rPr>
          <w:i/>
          <w:iCs/>
          <w:sz w:val="24"/>
          <w:szCs w:val="24"/>
        </w:rPr>
        <w:t>beta blocker</w:t>
      </w:r>
      <w:r w:rsidRPr="00794118">
        <w:rPr>
          <w:sz w:val="24"/>
          <w:szCs w:val="24"/>
        </w:rPr>
        <w:t xml:space="preserve">, thionamide, solusio iodine dan glukokortikoid </w:t>
      </w:r>
      <w:r w:rsidRPr="00794118">
        <w:rPr>
          <w:sz w:val="24"/>
          <w:szCs w:val="24"/>
        </w:rPr>
        <w:fldChar w:fldCharType="begin" w:fldLock="1"/>
      </w:r>
      <w:r w:rsidRPr="00794118">
        <w:rPr>
          <w:sz w:val="24"/>
          <w:szCs w:val="24"/>
        </w:rPr>
        <w:instrText>ADDIN CSL_CITATION {"citationItems":[{"id":"ITEM-1","itemData":{"author":[{"dropping-particle":"","family":"Ross","given":"DS","non-dropping-particle":"","parse-names":false,"suffix":""},{"dropping-particle":"","family":"Burch","given":"HB","non-dropping-particle":"","parse-names":false,"suffix":""},{"dropping-particle":"","family":"Cooper","given":"DS","non-dropping-particle":"","parse-names":false,"suffix":""},{"dropping-particle":"","family":"Greenlee","given":"MC","non-dropping-particle":"","parse-names":false,"suffix":""},{"dropping-particle":"","family":"Laurberg","given":"P","non-dropping-particle":"","parse-names":false,"suffix":""},{"dropping-particle":"","family":"Maia","given":"AL","non-dropping-particle":"","parse-names":false,"suffix":""},{"dropping-particle":"","family":"Rivkees","given":"SA","non-dropping-particle":"","parse-names":false,"suffix":""},{"dropping-particle":"","family":"Samuels","given":"M","non-dropping-particle":"","parse-names":false,"suffix":""},{"dropping-particle":"","family":"Sosa","given":"JA","non-dropping-particle":"","parse-names":false,"suffix":""},{"dropping-particle":"","family":"Stan","given":"MN","non-dropping-particle":"","parse-names":false,"suffix":""},{"dropping-particle":"","family":"Walter","given":"MA","non-dropping-particle":"","parse-names":false,"suffix":""}],"container-title":"Thyroid","id":"ITEM-1","issue":"10","issued":{"date-parts":[["2016"]]},"page":"1343","title":"2016 American Thyroid Association Guidelines for Diagnosis and Management of Hyperthyroidism and Other Causes of Thyrotoxicosis","type":"article-journal","volume":"26"},"uris":["http://www.mendeley.com/documents/?uuid=8cd6d417-ea2e-4dd1-8f88-9494973321dc"]}],"mendeley":{"formattedCitation":"(Ross et al. 2016)","plainTextFormattedCitation":"(Ross et al. 2016)","previouslyFormattedCitation":"(Ross et al. 2016)"},"properties":{"noteIndex":0},"schema":"https://github.com/citation-style-language/schema/raw/master/csl-citation.json"}</w:instrText>
      </w:r>
      <w:r w:rsidRPr="00794118">
        <w:rPr>
          <w:sz w:val="24"/>
          <w:szCs w:val="24"/>
        </w:rPr>
        <w:fldChar w:fldCharType="separate"/>
      </w:r>
      <w:r w:rsidRPr="00794118">
        <w:rPr>
          <w:noProof/>
          <w:sz w:val="24"/>
          <w:szCs w:val="24"/>
        </w:rPr>
        <w:t>(Ross et al. 2016)</w:t>
      </w:r>
      <w:r w:rsidRPr="00794118">
        <w:rPr>
          <w:sz w:val="24"/>
          <w:szCs w:val="24"/>
        </w:rPr>
        <w:fldChar w:fldCharType="end"/>
      </w:r>
      <w:r w:rsidRPr="00794118">
        <w:rPr>
          <w:sz w:val="24"/>
          <w:szCs w:val="24"/>
        </w:rPr>
        <w:t xml:space="preserve">. Terapi thionamide (propylthiouracil, methimazole, atau carbimazole) untuk krisis tiroid bertujuan untuk menghambat enzim tiroid peroksidase pada tiroid yang akan menurunkan sintesis T3 dan T4. Pada studi sebelumnya penurunan T3 terjadi lebih cepat dengan pemberian propylthiouracil (PTU) dibandingkan dengan methimazole, karena adanya inhibisi konversi perifer dari T4 menjadi T3 </w:t>
      </w:r>
      <w:r w:rsidRPr="00794118">
        <w:rPr>
          <w:sz w:val="24"/>
          <w:szCs w:val="24"/>
        </w:rPr>
        <w:fldChar w:fldCharType="begin" w:fldLock="1"/>
      </w:r>
      <w:r w:rsidRPr="00794118">
        <w:rPr>
          <w:sz w:val="24"/>
          <w:szCs w:val="24"/>
        </w:rPr>
        <w:instrText>ADDIN CSL_CITATION {"citationItems":[{"id":"ITEM-1","itemData":{"DOI":"10.1172/JCI107744","ISSN":"00219738","PMID":"4134836","abstract":"In 66 untreated patients with hyperthyroidism, serum triiodothyronine (T3) and throxine (T4) concentrations were measured by immunoassay. The mean T3 level was 478±28 ng/100 ml (all values mean±SEM) and the T4 was 20.6±0.6 μg/100 ml. The serum T4/T3 ratio by weight was 48±2 as opposed to a value of 71±3 in euthyroid adults. There was a significant inverse correlation of the T4/T3 ratios with serum T3 (r=0.77; P&lt;0.01) but not with serum T4 (r=0.21). These results suggested that relative overproduction of T3 is consistently present in patients with hyperthyroidism. To examine the acute effects of various antithyroid agents on serum T3 and T4 concentrations, iodide, propylthiouracil (PTU), and methylmercaptoimidazole (MMI) were given alone to 9 patients, and serial T3 and T4 measurements were made. There was an acute decrease in serum T3 over the first 5 days in the 3 iodide and 3 PTU treated patients which was greater than that seen in the MMI group. This suggested that PTU and MMI had different effects on T3 production. To compare the effects of PTU and MMI under conditions in which thyroidal hormone release was minimized, these drugs were given in combination with iodide. The mean daily dosage of PTU was 827 (n=11) and of MMI was 88 (n=8). In the PTU + iodide group, the initial serum T3 concentration was 586±61 ng/100 ml and decreased significantly to 326±41 on day 1 and to 248±21 and 231±20 on days 2 and 3, respectively and did not change further on days 4 and 5. In the MMI + iodide group, basal serum T3 was 645±90 ng/100 ml and decreased to 568±81, 452±73 and 344±51 on days 1, 2, and 3, respectively, and did not change thereafter. While the initial T3 concentrations in serum were not different in the PTU and MMI groups, the T3 concentrations in the PTU patients were significantly lower on days 1 and 2 and during the apparent plateau period on days 3-5. Serum T4 concentrations decreased gradually in both groups, from 23.9±2.0 μg/100 ml, initially, to 17.5±1.6 on day 5 in the PTU group and from 22.0±2.6 to 14.6±2.0 in the MMI treated patients. The T4 values were not significantly different at any time. These changes resulted in increases in the serum T4/T3 ratios in both groups, but these ratios were substantially higher in the patients treated with PTU + iodide. The initial serum T4/T3 ratio was 43±3 and increased to 74±7 and 88±7 on days 1 and 2 in the PTU group, reaching a plateau value of 91±7 during days 3-5. Comparable values for MMI treated patie…","author":[{"dropping-particle":"","family":"Abuid","given":"J.","non-dropping-particle":"","parse-names":false,"suffix":""},{"dropping-particle":"","family":"Larsen","given":"P. R.","non-dropping-particle":"","parse-names":false,"suffix":""}],"container-title":"Journal of Clinical Investigation","id":"ITEM-1","issue":"1","issued":{"date-parts":[["1974"]]},"page":"201-208","title":"Triiodothyronine and thyroxine in hyperthyroidism. Comparison of the acute changes during therapy with antithyroid agents","type":"article-journal","volume":"54"},"uris":["http://www.mendeley.com/documents/?uuid=74bafc81-4bc6-4620-aba4-60ef88ced920"]}],"mendeley":{"formattedCitation":"(Abuid and Larsen 1974)","plainTextFormattedCitation":"(Abuid and Larsen 1974)","previouslyFormattedCitation":"(Abuid and Larsen 1974)"},"properties":{"noteIndex":0},"schema":"https://github.com/citation-style-language/schema/raw/master/csl-citation.json"}</w:instrText>
      </w:r>
      <w:r w:rsidRPr="00794118">
        <w:rPr>
          <w:sz w:val="24"/>
          <w:szCs w:val="24"/>
        </w:rPr>
        <w:fldChar w:fldCharType="separate"/>
      </w:r>
      <w:r w:rsidRPr="00794118">
        <w:rPr>
          <w:noProof/>
          <w:sz w:val="24"/>
          <w:szCs w:val="24"/>
        </w:rPr>
        <w:t>(Abuid and Larsen 1974)</w:t>
      </w:r>
      <w:r w:rsidRPr="00794118">
        <w:rPr>
          <w:sz w:val="24"/>
          <w:szCs w:val="24"/>
        </w:rPr>
        <w:fldChar w:fldCharType="end"/>
      </w:r>
      <w:r w:rsidRPr="00794118">
        <w:rPr>
          <w:sz w:val="24"/>
          <w:szCs w:val="24"/>
        </w:rPr>
        <w:t xml:space="preserve">. Pada tahun 2016, American Thyroid Association (ATA) merekomendasikan penggunaan PTU sebagai lini pertama terapi pada krisis tiroid </w:t>
      </w:r>
      <w:r w:rsidRPr="00794118">
        <w:rPr>
          <w:sz w:val="24"/>
          <w:szCs w:val="24"/>
        </w:rPr>
        <w:fldChar w:fldCharType="begin" w:fldLock="1"/>
      </w:r>
      <w:r w:rsidRPr="00794118">
        <w:rPr>
          <w:sz w:val="24"/>
          <w:szCs w:val="24"/>
        </w:rPr>
        <w:instrText>ADDIN CSL_CITATION {"citationItems":[{"id":"ITEM-1","itemData":{"author":[{"dropping-particle":"","family":"Ross","given":"DS","non-dropping-particle":"","parse-names":false,"suffix":""},{"dropping-particle":"","family":"Burch","given":"HB","non-dropping-particle":"","parse-names":false,"suffix":""},{"dropping-particle":"","family":"Cooper","given":"DS","non-dropping-particle":"","parse-names":false,"suffix":""},{"dropping-particle":"","family":"Greenlee","given":"MC","non-dropping-particle":"","parse-names":false,"suffix":""},{"dropping-particle":"","family":"Laurberg","given":"P","non-dropping-particle":"","parse-names":false,"suffix":""},{"dropping-particle":"","family":"Maia","given":"AL","non-dropping-particle":"","parse-names":false,"suffix":""},{"dropping-particle":"","family":"Rivkees","given":"SA","non-dropping-particle":"","parse-names":false,"suffix":""},{"dropping-particle":"","family":"Samuels","given":"M","non-dropping-particle":"","parse-names":false,"suffix":""},{"dropping-particle":"","family":"Sosa","given":"JA","non-dropping-particle":"","parse-names":false,"suffix":""},{"dropping-particle":"","family":"Stan","given":"MN","non-dropping-particle":"","parse-names":false,"suffix":""},{"dropping-particle":"","family":"Walter","given":"MA","non-dropping-particle":"","parse-names":false,"suffix":""}],"container-title":"Thyroid","id":"ITEM-1","issue":"10","issued":{"date-parts":[["2016"]]},"page":"1343","title":"2016 American Thyroid Association Guidelines for Diagnosis and Management of Hyperthyroidism and Other Causes of Thyrotoxicosis","type":"article-journal","volume":"26"},"uris":["http://www.mendeley.com/documents/?uuid=8cd6d417-ea2e-4dd1-8f88-9494973321dc"]}],"mendeley":{"formattedCitation":"(Ross et al. 2016)","plainTextFormattedCitation":"(Ross et al. 2016)","previouslyFormattedCitation":"(Ross et al. 2016)"},"properties":{"noteIndex":0},"schema":"https://github.com/citation-style-language/schema/raw/master/csl-citation.json"}</w:instrText>
      </w:r>
      <w:r w:rsidRPr="00794118">
        <w:rPr>
          <w:sz w:val="24"/>
          <w:szCs w:val="24"/>
        </w:rPr>
        <w:fldChar w:fldCharType="separate"/>
      </w:r>
      <w:r w:rsidRPr="00794118">
        <w:rPr>
          <w:noProof/>
          <w:sz w:val="24"/>
          <w:szCs w:val="24"/>
        </w:rPr>
        <w:t>(Ross et al. 2016)</w:t>
      </w:r>
      <w:r w:rsidRPr="00794118">
        <w:rPr>
          <w:sz w:val="24"/>
          <w:szCs w:val="24"/>
        </w:rPr>
        <w:fldChar w:fldCharType="end"/>
      </w:r>
      <w:r w:rsidRPr="00794118">
        <w:rPr>
          <w:sz w:val="24"/>
          <w:szCs w:val="24"/>
        </w:rPr>
        <w:t xml:space="preserve">. Sedangkan Japanese Thyroid Association merekomendasikan penggunaan PTU atau methimazole sebagai lini pertama pada krisis tiroid, rekomendasi ini berdasarkan pada sebuah studi yang dilakukan pada 356 pasien yang memperlihatkan luaran yang sama pada penggunaan PTU dan methimazole </w:t>
      </w:r>
      <w:r w:rsidRPr="00794118">
        <w:rPr>
          <w:sz w:val="24"/>
          <w:szCs w:val="24"/>
        </w:rPr>
        <w:fldChar w:fldCharType="begin" w:fldLock="1"/>
      </w:r>
      <w:r w:rsidRPr="00794118">
        <w:rPr>
          <w:sz w:val="24"/>
          <w:szCs w:val="24"/>
        </w:rPr>
        <w:instrText>ADDIN CSL_CITATION {"citationItems":[{"id":"ITEM-1","itemData":{"abstract":"Thyroid storm is an endocrine emergency which is characterized by multiple organ failure due to severe thyrotoxicosis, often associated with triggering illnesses. Early suspicion, prompt diagnosis and intensive treatment will improve survival in thyroid storm patients. Because of its rarity and high mortality, prospective intervention studies for the treatment of thyroid storm are difficult to carry out. We, the Japan Thyroid Association and Japan Endocrine Society taskforce committee, previously developed new diagnostic criteria and conducted nationwide surveys for thyroid storm in Japan. Detailed analyses of clinical data from 356 patients revealed that the mortality in Japan was still high (~11%) and that multiple organ failure and acute heart failure were common causes of death. In addition, multimodal treatment with antithyroid drugs, inorganic iodide, corticosteroids and beta-adrenergic antagonists has been suggested to improve mortality of these patients. Based on the evidence obtained by nationwide surveys and additional literature searches, we herein established clinical guidelines for the management of thyroid storm. The present guideline includes 15 recommendations for the treatment of thyrotoxicosis and organ failure in the central nervous system, cardiovascular system, and hepato-gastrointestinal tract, admission criteria for the intensive care unit, and prognostic evaluation. We also proposed preventive approaches to thyroid storm, roles of definitive therapy, and future prospective trial plans for the treatment of thyroid storm. We hope that this guideline will be useful for many physicians all over the world as well as in Japan in the management of thyroid storm and the improvement of its outcome.","author":[{"dropping-particle":"","family":"Satoh","given":"Tetsurou","non-dropping-particle":"","parse-names":false,"suffix":""},{"dropping-particle":"","family":"Suzuki","given":"Atsushi","non-dropping-particle":"","parse-names":false,"suffix":""},{"dropping-particle":"","family":"Wakino","given":"Shu","non-dropping-particle":"","parse-names":false,"suffix":""},{"dropping-particle":"","family":"Iburi","given":"Tadao","non-dropping-particle":"","parse-names":false,"suffix":""},{"dropping-particle":"","family":"Tsuboi","given":"Kumiko","non-dropping-particle":"","parse-names":false,"suffix":""},{"dropping-particle":"","family":"Kanamoto","given":"Naotetsu","non-dropping-particle":"","parse-names":false,"suffix":""},{"dropping-particle":"","family":"Otani","given":"Hajime","non-dropping-particle":"","parse-names":false,"suffix":""},{"dropping-particle":"","family":"Furukawa","given":"Yasushi","non-dropping-particle":"","parse-names":false,"suffix":""},{"dropping-particle":"","family":"Teramukai","given":"Satoshi","non-dropping-particle":"","parse-names":false,"suffix":""},{"dropping-particle":"","family":"Akamizu","given":"Takashi","non-dropping-particle":"","parse-names":false,"suffix":""}],"container-title":"Endocrine Journal","id":"ITEM-1","issue":"12","issued":{"date-parts":[["2016"]]},"page":"1025-1064","title":"2016 Guidelines for the management of thyroid storm from The Japan Thyroid Association and Japan Endocrine Society (First edition): The Japan Thyroid Association and Japan Endocrine Society Taskforce Committee for the establishment of diagnostic criteria ","type":"article-journal","volume":"63"},"uris":["http://www.mendeley.com/documents/?uuid=141f91cd-0ec0-4c56-8ed2-b72959281fae"]}],"mendeley":{"formattedCitation":"(Satoh et al. 2016)","plainTextFormattedCitation":"(Satoh et al. 2016)","previouslyFormattedCitation":"(Satoh et al. 2016)"},"properties":{"noteIndex":0},"schema":"https://github.com/citation-style-language/schema/raw/master/csl-citation.json"}</w:instrText>
      </w:r>
      <w:r w:rsidRPr="00794118">
        <w:rPr>
          <w:sz w:val="24"/>
          <w:szCs w:val="24"/>
        </w:rPr>
        <w:fldChar w:fldCharType="separate"/>
      </w:r>
      <w:r w:rsidRPr="00794118">
        <w:rPr>
          <w:noProof/>
          <w:sz w:val="24"/>
          <w:szCs w:val="24"/>
        </w:rPr>
        <w:t>(Satoh et al. 2016)</w:t>
      </w:r>
      <w:r w:rsidRPr="00794118">
        <w:rPr>
          <w:sz w:val="24"/>
          <w:szCs w:val="24"/>
        </w:rPr>
        <w:fldChar w:fldCharType="end"/>
      </w:r>
      <w:r w:rsidRPr="00794118">
        <w:rPr>
          <w:sz w:val="24"/>
          <w:szCs w:val="24"/>
        </w:rPr>
        <w:t xml:space="preserve">. </w:t>
      </w:r>
    </w:p>
    <w:p w14:paraId="0C9FFC97" w14:textId="77777777" w:rsidR="00B21F17" w:rsidRDefault="00B21F17" w:rsidP="00B21F17">
      <w:pPr>
        <w:spacing w:after="0" w:line="240" w:lineRule="auto"/>
        <w:rPr>
          <w:sz w:val="24"/>
          <w:szCs w:val="24"/>
        </w:rPr>
      </w:pPr>
    </w:p>
    <w:p w14:paraId="10ED700A" w14:textId="77777777" w:rsidR="00794118" w:rsidRPr="00794118" w:rsidRDefault="00794118" w:rsidP="00B21F17">
      <w:pPr>
        <w:spacing w:after="0" w:line="240" w:lineRule="auto"/>
        <w:rPr>
          <w:sz w:val="24"/>
          <w:szCs w:val="24"/>
        </w:rPr>
      </w:pPr>
      <w:r w:rsidRPr="00794118">
        <w:rPr>
          <w:sz w:val="24"/>
          <w:szCs w:val="24"/>
        </w:rPr>
        <w:t xml:space="preserve">Sebuah systematic review dan metaanalisis mengenai efek samping PTU dan methimazole pada terapi hipertiroid, mendapatkan gangguan fungsi hati lebih tinggi pada kelompok PTU dibandingkan dengan kelompok methimazole (OR 2.40 vs 1.16; 95%; p = 0.02) dan peningkatan enzim transaminase lebih tinggi pada kelompok PTU dibandingkan dengan methimazole (OR 3.96 vs 2.49; 95%; p &lt; 0.00001) </w:t>
      </w:r>
      <w:r w:rsidRPr="00794118">
        <w:rPr>
          <w:sz w:val="24"/>
          <w:szCs w:val="24"/>
        </w:rPr>
        <w:fldChar w:fldCharType="begin" w:fldLock="1"/>
      </w:r>
      <w:r w:rsidRPr="00794118">
        <w:rPr>
          <w:sz w:val="24"/>
          <w:szCs w:val="24"/>
        </w:rPr>
        <w:instrText>ADDIN CSL_CITATION {"citationItems":[{"id":"ITEM-1","itemData":{"author":[{"dropping-particle":"","family":"Yu","given":"Wenshu","non-dropping-particle":"","parse-names":false,"suffix":""},{"dropping-particle":"","family":"Wu","given":"Na","non-dropping-particle":"","parse-names":false,"suffix":""},{"dropping-particle":"","family":"Li","given":"Ling","non-dropping-particle":"","parse-names":false,"suffix":""},{"dropping-particle":"","family":"Wang","given":"Junwu","non-dropping-particle":"","parse-names":false,"suffix":""},{"dropping-particle":"","family":"OuYang","given":"Hong","non-dropping-particle":"","parse-names":false,"suffix":""},{"dropping-particle":"","family":"Shen","given":"Haitao","non-dropping-particle":"","parse-names":false,"suffix":""}],"container-title":"Endocrine Practice","id":"ITEM-1","issue":"2","issued":{"date-parts":[["2020"]]},"page":"207-217","title":"Side Effects of PTU and MMI in the Treatment of Hyperthyroidism: A Systematic Review and Meta-Analysis","type":"article-journal","volume":"26"},"uris":["http://www.mendeley.com/documents/?uuid=2da92556-f80f-4ed3-9e74-95156714798a"]}],"mendeley":{"formattedCitation":"(Yu et al. 2020)","plainTextFormattedCitation":"(Yu et al. 2020)","previouslyFormattedCitation":"(Yu et al. 2020)"},"properties":{"noteIndex":0},"schema":"https://github.com/citation-style-language/schema/raw/master/csl-citation.json"}</w:instrText>
      </w:r>
      <w:r w:rsidRPr="00794118">
        <w:rPr>
          <w:sz w:val="24"/>
          <w:szCs w:val="24"/>
        </w:rPr>
        <w:fldChar w:fldCharType="separate"/>
      </w:r>
      <w:r w:rsidRPr="00794118">
        <w:rPr>
          <w:noProof/>
          <w:sz w:val="24"/>
          <w:szCs w:val="24"/>
        </w:rPr>
        <w:t>(Yu et al. 2020)</w:t>
      </w:r>
      <w:r w:rsidRPr="00794118">
        <w:rPr>
          <w:sz w:val="24"/>
          <w:szCs w:val="24"/>
        </w:rPr>
        <w:fldChar w:fldCharType="end"/>
      </w:r>
      <w:r w:rsidRPr="00794118">
        <w:rPr>
          <w:sz w:val="24"/>
          <w:szCs w:val="24"/>
        </w:rPr>
        <w:t xml:space="preserve">. Pada pasien kami diberikan dosis awal dengan PTU dan diteruskan dengan thiamazole untuk menghindari efek samping pada hati terutama karena pada pasien kami memiliki komorbid sirosis hati. Interaksi obat antara thionamide dan ART yang sedang dikonsumsi oleh pasien perlu diperhatikan terutama dalam hal mielosupresi, oleh karena itu diperlukan monitoring rutin untuk darah rutin pasien </w:t>
      </w:r>
      <w:r w:rsidRPr="00794118">
        <w:rPr>
          <w:sz w:val="24"/>
          <w:szCs w:val="24"/>
        </w:rPr>
        <w:fldChar w:fldCharType="begin" w:fldLock="1"/>
      </w:r>
      <w:r w:rsidRPr="00794118">
        <w:rPr>
          <w:sz w:val="24"/>
          <w:szCs w:val="24"/>
        </w:rPr>
        <w:instrText>ADDIN CSL_CITATION {"citationItems":[{"id":"ITEM-1","itemData":{"DOI":"10.1097/00001503-200108000-00006","ISSN":"09527907","abstract":"The prevalence of undesirable drug interactions is substantial but largely unknown. Although drug interactions are certainly an important cause of drug toxicity, their clinical significance may have been exaggerated. This review presents a brief overview of possible drug interactions. © 2001 Lippincott Williams &amp; Wilkins.","author":[{"dropping-particle":"","family":"Olkkola","given":"Klaus T.","non-dropping-particle":"","parse-names":false,"suffix":""},{"dropping-particle":"","family":"Ahonen","given":"Jouni","non-dropping-particle":"","parse-names":false,"suffix":""}],"container-title":"Current Opinion in Anaesthesiology","id":"ITEM-1","issue":"4","issued":{"date-parts":[["2001"]]},"page":"411-416","title":"Drug interactions","type":"article-journal","volume":"14"},"uris":["http://www.mendeley.com/documents/?uuid=70808abe-9e15-4bc7-ae08-b4fc6f592f8a"]}],"mendeley":{"formattedCitation":"(Olkkola and Ahonen 2001)","plainTextFormattedCitation":"(Olkkola and Ahonen 2001)"},"properties":{"noteIndex":0},"schema":"https://github.com/citation-style-language/schema/raw/master/csl-citation.json"}</w:instrText>
      </w:r>
      <w:r w:rsidRPr="00794118">
        <w:rPr>
          <w:sz w:val="24"/>
          <w:szCs w:val="24"/>
        </w:rPr>
        <w:fldChar w:fldCharType="separate"/>
      </w:r>
      <w:r w:rsidRPr="00794118">
        <w:rPr>
          <w:noProof/>
          <w:sz w:val="24"/>
          <w:szCs w:val="24"/>
        </w:rPr>
        <w:t>(Olkkola and Ahonen 2001)</w:t>
      </w:r>
      <w:r w:rsidRPr="00794118">
        <w:rPr>
          <w:sz w:val="24"/>
          <w:szCs w:val="24"/>
        </w:rPr>
        <w:fldChar w:fldCharType="end"/>
      </w:r>
      <w:r w:rsidRPr="00794118">
        <w:rPr>
          <w:sz w:val="24"/>
          <w:szCs w:val="24"/>
        </w:rPr>
        <w:t xml:space="preserve">. </w:t>
      </w:r>
    </w:p>
    <w:p w14:paraId="70A9E0DA" w14:textId="77777777" w:rsidR="00B21F17" w:rsidRDefault="00B21F17" w:rsidP="00B21F17">
      <w:pPr>
        <w:spacing w:after="0" w:line="240" w:lineRule="auto"/>
        <w:rPr>
          <w:sz w:val="24"/>
          <w:szCs w:val="24"/>
        </w:rPr>
      </w:pPr>
    </w:p>
    <w:p w14:paraId="7FEFF3BD" w14:textId="77777777" w:rsidR="00794118" w:rsidRDefault="00794118" w:rsidP="00B21F17">
      <w:pPr>
        <w:spacing w:after="0" w:line="240" w:lineRule="auto"/>
        <w:rPr>
          <w:sz w:val="24"/>
          <w:szCs w:val="24"/>
        </w:rPr>
      </w:pPr>
      <w:r w:rsidRPr="00794118">
        <w:rPr>
          <w:sz w:val="24"/>
          <w:szCs w:val="24"/>
        </w:rPr>
        <w:t xml:space="preserve">Tatalaksana nutrisi pada pasien krisis tiroid dengan komorbid HIV dan sirosis hati bertujuan untuk mencegah sarkopenia, memperlambat perburukan sirosis hati, serta mendukung sistem imun. Pasien dengan kondisi ini mengalami hipermetabolisme sebesar 15–34%, disertai pergeseran dari glikogenolisis ke glukoneogenesis sebagai sumber energi utama, yang mengakibatkan deplesi protein. Peningkatan oksidasi lemak dan resistensi insulin turut memperburuk metabolisme energi. Kebutuhan energi direkomendasikan sebesar 30–35 kkal/kg BB/hari dengan protein 1,2–1,5 g/kg BB/hari (Bischoff et al. 2020; Calmet et al. 2019; Ockenga et al. 2006). Suplementasi asam amino rantai cabang 4 g/hari bermanfaat untuk meningkatkan sintesis albumin dan protein otot. Restriksi natrium hingga 1500 mg/hari dianjurkan bagi pasien dengan asites, tetapi perlu diperhatikan agar </w:t>
      </w:r>
      <w:r w:rsidRPr="00794118">
        <w:rPr>
          <w:sz w:val="24"/>
          <w:szCs w:val="24"/>
        </w:rPr>
        <w:lastRenderedPageBreak/>
        <w:t xml:space="preserve">tidak mengurangi palatabilitas dan asupan makanan. Pemberian makanan selingan karbohidrat pada malam hari dapat mencegah </w:t>
      </w:r>
      <w:r w:rsidRPr="00794118">
        <w:rPr>
          <w:i/>
          <w:iCs/>
          <w:sz w:val="24"/>
          <w:szCs w:val="24"/>
        </w:rPr>
        <w:t>fasting state</w:t>
      </w:r>
      <w:r w:rsidRPr="00794118">
        <w:rPr>
          <w:sz w:val="24"/>
          <w:szCs w:val="24"/>
        </w:rPr>
        <w:t xml:space="preserve"> dan memperbaiki keseimbangan nitrogen (Bischoff et al. 2020). Selain itu, defisiensi mikronutrien terutama vitamin B, vitamin D, magnesium, dan fosfat perlu diidentifikasi dan dikoreksi secara adekuat (Xu et al. 2015; Bischoff et al. 2020).</w:t>
      </w:r>
    </w:p>
    <w:p w14:paraId="61A3C97C" w14:textId="77777777" w:rsidR="00794118" w:rsidRDefault="00794118" w:rsidP="00794118">
      <w:pPr>
        <w:spacing w:after="0" w:line="240" w:lineRule="auto"/>
        <w:rPr>
          <w:sz w:val="24"/>
          <w:szCs w:val="24"/>
        </w:rPr>
      </w:pPr>
    </w:p>
    <w:p w14:paraId="2FEAEF19" w14:textId="630A72A5" w:rsidR="00794118" w:rsidRDefault="00794118" w:rsidP="00794118">
      <w:pPr>
        <w:spacing w:after="0" w:line="240" w:lineRule="auto"/>
        <w:rPr>
          <w:b/>
          <w:bCs/>
          <w:sz w:val="24"/>
          <w:szCs w:val="24"/>
        </w:rPr>
      </w:pPr>
      <w:r w:rsidRPr="00794118">
        <w:rPr>
          <w:b/>
          <w:bCs/>
          <w:sz w:val="24"/>
          <w:szCs w:val="24"/>
        </w:rPr>
        <w:t>KESIMPULAN</w:t>
      </w:r>
    </w:p>
    <w:p w14:paraId="541F403D" w14:textId="77777777" w:rsidR="00794118" w:rsidRDefault="00794118" w:rsidP="00B21F17">
      <w:pPr>
        <w:spacing w:after="0" w:line="240" w:lineRule="auto"/>
        <w:rPr>
          <w:sz w:val="24"/>
          <w:szCs w:val="24"/>
        </w:rPr>
      </w:pPr>
      <w:r w:rsidRPr="00794118">
        <w:rPr>
          <w:sz w:val="24"/>
          <w:szCs w:val="24"/>
        </w:rPr>
        <w:t xml:space="preserve">Mekanisme kelainan tiroid pada infeksi HIV dapat berupa kanker tiroid, hipotiroid dan hipertiroid. Penyakit Graves merupakan penyebab hipertiroid yang paling sering terjadi pada HIV. Terjadinya Penyakit Graves pada HIV merupakan komplikasi dari penggunaan ART dan disebut dengan </w:t>
      </w:r>
      <w:r w:rsidRPr="00794118">
        <w:rPr>
          <w:i/>
          <w:iCs/>
          <w:sz w:val="24"/>
          <w:szCs w:val="24"/>
        </w:rPr>
        <w:t xml:space="preserve">Graves Immune Restoration Syndrome </w:t>
      </w:r>
      <w:r w:rsidRPr="00794118">
        <w:rPr>
          <w:sz w:val="24"/>
          <w:szCs w:val="24"/>
        </w:rPr>
        <w:t xml:space="preserve"> (GIRT). Penatalaksanaan hipertiroid pada HIV sama dengan pada populasi umum. Gangguan fungsi hati dan peningkatan enzim transaminase ditemukan lebih tinggi pada penggunaan PTU dibandingkan dengan methimazole. Selain medikamentosa, nutrisi merupakan hal yang penting pada pasien dengan hipertiroid dengan multipel komorbid. Pemberian nutrisi diberikan secara individual dengan pemenuhan energi dan protein yang adekuat. Suplementasi mikronutrien direkomendasikan jika terbukti terdapat defisiensi.</w:t>
      </w:r>
    </w:p>
    <w:p w14:paraId="5975C205" w14:textId="77777777" w:rsidR="00794118" w:rsidRDefault="00794118" w:rsidP="00794118">
      <w:pPr>
        <w:spacing w:after="0" w:line="240" w:lineRule="auto"/>
        <w:rPr>
          <w:sz w:val="24"/>
          <w:szCs w:val="24"/>
        </w:rPr>
      </w:pPr>
    </w:p>
    <w:p w14:paraId="60959907" w14:textId="1038CC22" w:rsidR="00794118" w:rsidRDefault="00794118" w:rsidP="00794118">
      <w:pPr>
        <w:spacing w:after="0" w:line="240" w:lineRule="auto"/>
        <w:rPr>
          <w:b/>
          <w:bCs/>
          <w:sz w:val="24"/>
          <w:szCs w:val="24"/>
        </w:rPr>
      </w:pPr>
      <w:r w:rsidRPr="00794118">
        <w:rPr>
          <w:b/>
          <w:bCs/>
          <w:sz w:val="24"/>
          <w:szCs w:val="24"/>
        </w:rPr>
        <w:t>DAFTAR PUSTAKA</w:t>
      </w:r>
    </w:p>
    <w:p w14:paraId="288043BF" w14:textId="77777777" w:rsidR="00FD5AF9" w:rsidRPr="00FD5AF9" w:rsidRDefault="00FD5AF9" w:rsidP="00FD5AF9">
      <w:pPr>
        <w:widowControl w:val="0"/>
        <w:autoSpaceDE w:val="0"/>
        <w:autoSpaceDN w:val="0"/>
        <w:adjustRightInd w:val="0"/>
        <w:spacing w:after="0" w:line="240" w:lineRule="auto"/>
        <w:ind w:left="480" w:hanging="480"/>
        <w:rPr>
          <w:rFonts w:cs="Calibri"/>
          <w:noProof/>
          <w:sz w:val="24"/>
          <w:szCs w:val="24"/>
        </w:rPr>
      </w:pPr>
      <w:r w:rsidRPr="00FD5AF9">
        <w:rPr>
          <w:sz w:val="24"/>
          <w:szCs w:val="24"/>
        </w:rPr>
        <w:fldChar w:fldCharType="begin" w:fldLock="1"/>
      </w:r>
      <w:r w:rsidRPr="00FD5AF9">
        <w:rPr>
          <w:sz w:val="24"/>
          <w:szCs w:val="24"/>
        </w:rPr>
        <w:instrText xml:space="preserve">ADDIN Mendeley Bibliography CSL_BIBLIOGRAPHY </w:instrText>
      </w:r>
      <w:r w:rsidRPr="00FD5AF9">
        <w:rPr>
          <w:sz w:val="24"/>
          <w:szCs w:val="24"/>
        </w:rPr>
        <w:fldChar w:fldCharType="separate"/>
      </w:r>
      <w:r w:rsidRPr="00FD5AF9">
        <w:rPr>
          <w:rFonts w:cs="Calibri"/>
          <w:noProof/>
          <w:sz w:val="24"/>
          <w:szCs w:val="24"/>
        </w:rPr>
        <w:t xml:space="preserve">Abuid, J., and P. R. Larsen. 1974. “Triiodothyronine and Thyroxine in Hyperthyroidism. Comparison of the Acute Changes during Therapy with Antithyroid Agents.” </w:t>
      </w:r>
      <w:r w:rsidRPr="00FD5AF9">
        <w:rPr>
          <w:rFonts w:cs="Calibri"/>
          <w:i/>
          <w:iCs/>
          <w:noProof/>
          <w:sz w:val="24"/>
          <w:szCs w:val="24"/>
        </w:rPr>
        <w:t>Journal of Clinical Investigation</w:t>
      </w:r>
      <w:r w:rsidRPr="00FD5AF9">
        <w:rPr>
          <w:rFonts w:cs="Calibri"/>
          <w:noProof/>
          <w:sz w:val="24"/>
          <w:szCs w:val="24"/>
        </w:rPr>
        <w:t xml:space="preserve"> 54(1): 201–8.</w:t>
      </w:r>
    </w:p>
    <w:p w14:paraId="5BB3BFD1" w14:textId="77777777" w:rsidR="00FD5AF9" w:rsidRPr="00FD5AF9" w:rsidRDefault="00FD5AF9" w:rsidP="00FD5AF9">
      <w:pPr>
        <w:widowControl w:val="0"/>
        <w:autoSpaceDE w:val="0"/>
        <w:autoSpaceDN w:val="0"/>
        <w:adjustRightInd w:val="0"/>
        <w:spacing w:after="0" w:line="240" w:lineRule="auto"/>
        <w:ind w:left="480" w:hanging="480"/>
        <w:rPr>
          <w:rFonts w:cs="Calibri"/>
          <w:noProof/>
          <w:sz w:val="24"/>
          <w:szCs w:val="24"/>
        </w:rPr>
      </w:pPr>
      <w:r w:rsidRPr="00FD5AF9">
        <w:rPr>
          <w:rFonts w:cs="Calibri"/>
          <w:noProof/>
          <w:sz w:val="24"/>
          <w:szCs w:val="24"/>
        </w:rPr>
        <w:t xml:space="preserve">Bhuyan, Ashok Krishna, Dipti Sarma, Uma Kaimal Saikia, and Bipul Kumar Choudhury. 2014. “Grave’s Disease with Severe Hepatic Dysfunction: A Diagnostic and Therapeutic Challenge.” </w:t>
      </w:r>
      <w:r w:rsidRPr="00FD5AF9">
        <w:rPr>
          <w:rFonts w:cs="Calibri"/>
          <w:i/>
          <w:iCs/>
          <w:noProof/>
          <w:sz w:val="24"/>
          <w:szCs w:val="24"/>
        </w:rPr>
        <w:t>Case Reports in Medicine</w:t>
      </w:r>
      <w:r w:rsidRPr="00FD5AF9">
        <w:rPr>
          <w:rFonts w:cs="Calibri"/>
          <w:noProof/>
          <w:sz w:val="24"/>
          <w:szCs w:val="24"/>
        </w:rPr>
        <w:t xml:space="preserve"> 2014.</w:t>
      </w:r>
    </w:p>
    <w:p w14:paraId="19D28F11" w14:textId="77777777" w:rsidR="00FD5AF9" w:rsidRPr="00FD5AF9" w:rsidRDefault="00FD5AF9" w:rsidP="00FD5AF9">
      <w:pPr>
        <w:widowControl w:val="0"/>
        <w:autoSpaceDE w:val="0"/>
        <w:autoSpaceDN w:val="0"/>
        <w:adjustRightInd w:val="0"/>
        <w:spacing w:after="0" w:line="240" w:lineRule="auto"/>
        <w:ind w:left="480" w:hanging="480"/>
        <w:rPr>
          <w:rFonts w:cs="Calibri"/>
          <w:noProof/>
          <w:sz w:val="24"/>
          <w:szCs w:val="24"/>
        </w:rPr>
      </w:pPr>
      <w:r w:rsidRPr="00FD5AF9">
        <w:rPr>
          <w:rFonts w:cs="Calibri"/>
          <w:noProof/>
          <w:sz w:val="24"/>
          <w:szCs w:val="24"/>
        </w:rPr>
        <w:t>Bischoff, S. C., Bernal, W., Dasarathy, S., Merli, M., Plank, L. D., Schütz, T., &amp; Plauth, M. 2020. "ESPEN Practical Guideline: Clinical Nutrition in Liver Disease." </w:t>
      </w:r>
      <w:r w:rsidRPr="00FD5AF9">
        <w:rPr>
          <w:rFonts w:cs="Calibri"/>
          <w:i/>
          <w:iCs/>
          <w:noProof/>
          <w:sz w:val="24"/>
          <w:szCs w:val="24"/>
        </w:rPr>
        <w:t>Clinical Nutrition 39</w:t>
      </w:r>
      <w:r w:rsidRPr="00FD5AF9">
        <w:rPr>
          <w:rFonts w:cs="Calibri"/>
          <w:noProof/>
          <w:sz w:val="24"/>
          <w:szCs w:val="24"/>
        </w:rPr>
        <w:t xml:space="preserve">(12): 3533–3562. </w:t>
      </w:r>
    </w:p>
    <w:p w14:paraId="3DC7465C" w14:textId="77777777" w:rsidR="00FD5AF9" w:rsidRPr="00FD5AF9" w:rsidRDefault="00FD5AF9" w:rsidP="00FD5AF9">
      <w:pPr>
        <w:widowControl w:val="0"/>
        <w:autoSpaceDE w:val="0"/>
        <w:autoSpaceDN w:val="0"/>
        <w:adjustRightInd w:val="0"/>
        <w:spacing w:after="0" w:line="240" w:lineRule="auto"/>
        <w:ind w:left="480" w:hanging="480"/>
        <w:rPr>
          <w:rFonts w:cs="Calibri"/>
          <w:noProof/>
          <w:sz w:val="24"/>
          <w:szCs w:val="24"/>
        </w:rPr>
      </w:pPr>
      <w:r w:rsidRPr="00FD5AF9">
        <w:rPr>
          <w:rFonts w:cs="Calibri"/>
          <w:noProof/>
          <w:sz w:val="24"/>
          <w:szCs w:val="24"/>
        </w:rPr>
        <w:t>Calmet, F., Martin, P., &amp; Pearlman, M. 2019. "Nutrition in Patients with Cirrhosis." </w:t>
      </w:r>
      <w:r w:rsidRPr="00FD5AF9">
        <w:rPr>
          <w:rFonts w:cs="Calibri"/>
          <w:i/>
          <w:iCs/>
          <w:noProof/>
          <w:sz w:val="24"/>
          <w:szCs w:val="24"/>
        </w:rPr>
        <w:t>Gastroenterology &amp; hepatology</w:t>
      </w:r>
      <w:r w:rsidRPr="00FD5AF9">
        <w:rPr>
          <w:rFonts w:cs="Calibri"/>
          <w:noProof/>
          <w:sz w:val="24"/>
          <w:szCs w:val="24"/>
        </w:rPr>
        <w:t xml:space="preserve"> </w:t>
      </w:r>
      <w:r w:rsidRPr="00FD5AF9">
        <w:rPr>
          <w:rFonts w:cs="Calibri"/>
          <w:i/>
          <w:iCs/>
          <w:noProof/>
          <w:sz w:val="24"/>
          <w:szCs w:val="24"/>
        </w:rPr>
        <w:t>15</w:t>
      </w:r>
      <w:r w:rsidRPr="00FD5AF9">
        <w:rPr>
          <w:rFonts w:cs="Calibri"/>
          <w:noProof/>
          <w:sz w:val="24"/>
          <w:szCs w:val="24"/>
        </w:rPr>
        <w:t>(5): 248–254.</w:t>
      </w:r>
    </w:p>
    <w:p w14:paraId="20E30054" w14:textId="77777777" w:rsidR="00FD5AF9" w:rsidRPr="00FD5AF9" w:rsidRDefault="00FD5AF9" w:rsidP="00FD5AF9">
      <w:pPr>
        <w:widowControl w:val="0"/>
        <w:autoSpaceDE w:val="0"/>
        <w:autoSpaceDN w:val="0"/>
        <w:adjustRightInd w:val="0"/>
        <w:spacing w:after="0" w:line="240" w:lineRule="auto"/>
        <w:ind w:left="480" w:hanging="480"/>
        <w:rPr>
          <w:rFonts w:cs="Calibri"/>
          <w:noProof/>
          <w:sz w:val="24"/>
          <w:szCs w:val="24"/>
        </w:rPr>
      </w:pPr>
      <w:r w:rsidRPr="00FD5AF9">
        <w:rPr>
          <w:rFonts w:cs="Calibri"/>
          <w:noProof/>
          <w:sz w:val="24"/>
          <w:szCs w:val="24"/>
        </w:rPr>
        <w:t xml:space="preserve">C.J.Hoffmann, and T.T.Brown. 2007. “Thyroid Function Abnormal Ities in HIV-Infected Patients.” </w:t>
      </w:r>
      <w:r w:rsidRPr="00FD5AF9">
        <w:rPr>
          <w:rFonts w:cs="Calibri"/>
          <w:i/>
          <w:iCs/>
          <w:noProof/>
          <w:sz w:val="24"/>
          <w:szCs w:val="24"/>
        </w:rPr>
        <w:t>Clinical Infectious Diseases</w:t>
      </w:r>
      <w:r w:rsidRPr="00FD5AF9">
        <w:rPr>
          <w:rFonts w:cs="Calibri"/>
          <w:noProof/>
          <w:sz w:val="24"/>
          <w:szCs w:val="24"/>
        </w:rPr>
        <w:t xml:space="preserve"> 45(4): 488–94.</w:t>
      </w:r>
    </w:p>
    <w:p w14:paraId="3F90663D" w14:textId="77777777" w:rsidR="00FD5AF9" w:rsidRPr="00FD5AF9" w:rsidRDefault="00FD5AF9" w:rsidP="00FD5AF9">
      <w:pPr>
        <w:widowControl w:val="0"/>
        <w:autoSpaceDE w:val="0"/>
        <w:autoSpaceDN w:val="0"/>
        <w:adjustRightInd w:val="0"/>
        <w:spacing w:after="0" w:line="240" w:lineRule="auto"/>
        <w:ind w:left="480" w:hanging="480"/>
        <w:rPr>
          <w:rFonts w:cs="Calibri"/>
          <w:noProof/>
          <w:sz w:val="24"/>
          <w:szCs w:val="24"/>
        </w:rPr>
      </w:pPr>
      <w:r w:rsidRPr="00FD5AF9">
        <w:rPr>
          <w:rFonts w:cs="Calibri"/>
          <w:noProof/>
          <w:sz w:val="24"/>
          <w:szCs w:val="24"/>
        </w:rPr>
        <w:t xml:space="preserve">Edmunds, Matthew R. et al. 2015. “Clinical Challenges of Thyroid Eye Disease in HIV-Positive Patients on Highly Active Antiretroviral Therapy.” </w:t>
      </w:r>
      <w:r w:rsidRPr="00FD5AF9">
        <w:rPr>
          <w:rFonts w:cs="Calibri"/>
          <w:i/>
          <w:iCs/>
          <w:noProof/>
          <w:sz w:val="24"/>
          <w:szCs w:val="24"/>
        </w:rPr>
        <w:t>Journal of Clinical Endocrinology and Metabolism</w:t>
      </w:r>
      <w:r w:rsidRPr="00FD5AF9">
        <w:rPr>
          <w:rFonts w:cs="Calibri"/>
          <w:noProof/>
          <w:sz w:val="24"/>
          <w:szCs w:val="24"/>
        </w:rPr>
        <w:t xml:space="preserve"> 100(3): 779–87.</w:t>
      </w:r>
    </w:p>
    <w:p w14:paraId="21AF1631" w14:textId="77777777" w:rsidR="00FD5AF9" w:rsidRPr="00FD5AF9" w:rsidRDefault="00FD5AF9" w:rsidP="00FD5AF9">
      <w:pPr>
        <w:widowControl w:val="0"/>
        <w:autoSpaceDE w:val="0"/>
        <w:autoSpaceDN w:val="0"/>
        <w:adjustRightInd w:val="0"/>
        <w:spacing w:after="0" w:line="240" w:lineRule="auto"/>
        <w:ind w:left="480" w:hanging="480"/>
        <w:rPr>
          <w:rFonts w:cs="Calibri"/>
          <w:noProof/>
          <w:sz w:val="24"/>
          <w:szCs w:val="24"/>
        </w:rPr>
      </w:pPr>
      <w:r w:rsidRPr="00FD5AF9">
        <w:rPr>
          <w:rFonts w:cs="Calibri"/>
          <w:noProof/>
          <w:sz w:val="24"/>
          <w:szCs w:val="24"/>
        </w:rPr>
        <w:t xml:space="preserve">Hsu, Emory, Varun K. Phadke, and Minh Ly T. Nguyen. 2016. “Short Communication: Hyperthyroidism in Human Immunodeficiency Virus Patients on Combined Antiretroviral Therapy: Case Series and Literature Review.” </w:t>
      </w:r>
      <w:r w:rsidRPr="00FD5AF9">
        <w:rPr>
          <w:rFonts w:cs="Calibri"/>
          <w:i/>
          <w:iCs/>
          <w:noProof/>
          <w:sz w:val="24"/>
          <w:szCs w:val="24"/>
        </w:rPr>
        <w:t>AIDS Research and Human Retroviruses</w:t>
      </w:r>
      <w:r w:rsidRPr="00FD5AF9">
        <w:rPr>
          <w:rFonts w:cs="Calibri"/>
          <w:noProof/>
          <w:sz w:val="24"/>
          <w:szCs w:val="24"/>
        </w:rPr>
        <w:t xml:space="preserve"> 32(6): 564–66.</w:t>
      </w:r>
    </w:p>
    <w:p w14:paraId="54F31C15" w14:textId="77777777" w:rsidR="00FD5AF9" w:rsidRPr="00FD5AF9" w:rsidRDefault="00FD5AF9" w:rsidP="00FD5AF9">
      <w:pPr>
        <w:widowControl w:val="0"/>
        <w:autoSpaceDE w:val="0"/>
        <w:autoSpaceDN w:val="0"/>
        <w:adjustRightInd w:val="0"/>
        <w:spacing w:after="0" w:line="240" w:lineRule="auto"/>
        <w:ind w:left="480" w:hanging="480"/>
        <w:rPr>
          <w:rFonts w:cs="Calibri"/>
          <w:noProof/>
          <w:sz w:val="24"/>
          <w:szCs w:val="24"/>
        </w:rPr>
      </w:pPr>
      <w:r w:rsidRPr="00FD5AF9">
        <w:rPr>
          <w:rFonts w:cs="Calibri"/>
          <w:noProof/>
          <w:sz w:val="24"/>
          <w:szCs w:val="24"/>
        </w:rPr>
        <w:t xml:space="preserve">Ibrahim, Maryam et al. 2019. “Thyroid Function in Individuals Living with Human Immunodeficiency Virus: The Concern and Debate about Regular Screening.” </w:t>
      </w:r>
      <w:r w:rsidRPr="00FD5AF9">
        <w:rPr>
          <w:rFonts w:cs="Calibri"/>
          <w:i/>
          <w:iCs/>
          <w:noProof/>
          <w:sz w:val="24"/>
          <w:szCs w:val="24"/>
        </w:rPr>
        <w:t>Annals of Thyroid</w:t>
      </w:r>
      <w:r w:rsidRPr="00FD5AF9">
        <w:rPr>
          <w:rFonts w:cs="Calibri"/>
          <w:noProof/>
          <w:sz w:val="24"/>
          <w:szCs w:val="24"/>
        </w:rPr>
        <w:t xml:space="preserve"> (4): 3–10.</w:t>
      </w:r>
    </w:p>
    <w:p w14:paraId="0D893A02" w14:textId="77777777" w:rsidR="00FD5AF9" w:rsidRPr="00FD5AF9" w:rsidRDefault="00FD5AF9" w:rsidP="00FD5AF9">
      <w:pPr>
        <w:widowControl w:val="0"/>
        <w:autoSpaceDE w:val="0"/>
        <w:autoSpaceDN w:val="0"/>
        <w:adjustRightInd w:val="0"/>
        <w:spacing w:after="0" w:line="240" w:lineRule="auto"/>
        <w:ind w:left="480" w:hanging="480"/>
        <w:rPr>
          <w:rFonts w:cs="Calibri"/>
          <w:noProof/>
          <w:sz w:val="24"/>
          <w:szCs w:val="24"/>
        </w:rPr>
      </w:pPr>
      <w:r w:rsidRPr="00FD5AF9">
        <w:rPr>
          <w:rFonts w:cs="Calibri"/>
          <w:noProof/>
          <w:sz w:val="24"/>
          <w:szCs w:val="24"/>
        </w:rPr>
        <w:t xml:space="preserve">Iordache, Laura et al. 2014. “Autoimmune Diseases in HIV-Infected Patients: 52 Cases and Literature Review.” </w:t>
      </w:r>
      <w:r w:rsidRPr="00FD5AF9">
        <w:rPr>
          <w:rFonts w:cs="Calibri"/>
          <w:i/>
          <w:iCs/>
          <w:noProof/>
          <w:sz w:val="24"/>
          <w:szCs w:val="24"/>
        </w:rPr>
        <w:t>Elsevier</w:t>
      </w:r>
      <w:r w:rsidRPr="00FD5AF9">
        <w:rPr>
          <w:rFonts w:cs="Calibri"/>
          <w:noProof/>
          <w:sz w:val="24"/>
          <w:szCs w:val="24"/>
        </w:rPr>
        <w:t xml:space="preserve"> 13(8): 850–57.</w:t>
      </w:r>
    </w:p>
    <w:p w14:paraId="6483132D" w14:textId="77777777" w:rsidR="00FD5AF9" w:rsidRPr="00FD5AF9" w:rsidRDefault="00FD5AF9" w:rsidP="00FD5AF9">
      <w:pPr>
        <w:widowControl w:val="0"/>
        <w:autoSpaceDE w:val="0"/>
        <w:autoSpaceDN w:val="0"/>
        <w:adjustRightInd w:val="0"/>
        <w:spacing w:after="0" w:line="240" w:lineRule="auto"/>
        <w:ind w:left="480" w:hanging="480"/>
        <w:rPr>
          <w:rFonts w:cs="Calibri"/>
          <w:noProof/>
          <w:sz w:val="24"/>
          <w:szCs w:val="24"/>
        </w:rPr>
      </w:pPr>
      <w:r w:rsidRPr="00FD5AF9">
        <w:rPr>
          <w:rFonts w:cs="Calibri"/>
          <w:noProof/>
          <w:sz w:val="24"/>
          <w:szCs w:val="24"/>
        </w:rPr>
        <w:t xml:space="preserve">Ji, Shujing et al. 2016. “Prevalence and Influencing Factors of Thyroid Dysfunction in HIV-Infected Patients.” </w:t>
      </w:r>
      <w:r w:rsidRPr="00FD5AF9">
        <w:rPr>
          <w:rFonts w:cs="Calibri"/>
          <w:i/>
          <w:iCs/>
          <w:noProof/>
          <w:sz w:val="24"/>
          <w:szCs w:val="24"/>
        </w:rPr>
        <w:t>BioMed Research International</w:t>
      </w:r>
      <w:r w:rsidRPr="00FD5AF9">
        <w:rPr>
          <w:rFonts w:cs="Calibri"/>
          <w:noProof/>
          <w:sz w:val="24"/>
          <w:szCs w:val="24"/>
        </w:rPr>
        <w:t xml:space="preserve"> 2016: 9–13.</w:t>
      </w:r>
    </w:p>
    <w:p w14:paraId="138384E2" w14:textId="77777777" w:rsidR="00FD5AF9" w:rsidRPr="00FD5AF9" w:rsidRDefault="00FD5AF9" w:rsidP="00FD5AF9">
      <w:pPr>
        <w:widowControl w:val="0"/>
        <w:autoSpaceDE w:val="0"/>
        <w:autoSpaceDN w:val="0"/>
        <w:adjustRightInd w:val="0"/>
        <w:spacing w:after="0" w:line="240" w:lineRule="auto"/>
        <w:ind w:left="480" w:hanging="480"/>
        <w:rPr>
          <w:rFonts w:cs="Calibri"/>
          <w:noProof/>
          <w:sz w:val="24"/>
          <w:szCs w:val="24"/>
        </w:rPr>
      </w:pPr>
      <w:r w:rsidRPr="00FD5AF9">
        <w:rPr>
          <w:rFonts w:cs="Calibri"/>
          <w:noProof/>
          <w:sz w:val="24"/>
          <w:szCs w:val="24"/>
        </w:rPr>
        <w:lastRenderedPageBreak/>
        <w:t>Joint United Nations Programme on HIV/AIDS (UNAIDS). 2024. “Fact Sheet 2024 - Latest Global and Regional HIV Statistics on the Status of the AIDS Epidemic.” https://www.unaids.org/en.</w:t>
      </w:r>
    </w:p>
    <w:p w14:paraId="378D9C48" w14:textId="77777777" w:rsidR="00FD5AF9" w:rsidRPr="00FD5AF9" w:rsidRDefault="00FD5AF9" w:rsidP="00FD5AF9">
      <w:pPr>
        <w:widowControl w:val="0"/>
        <w:autoSpaceDE w:val="0"/>
        <w:autoSpaceDN w:val="0"/>
        <w:adjustRightInd w:val="0"/>
        <w:spacing w:after="0" w:line="240" w:lineRule="auto"/>
        <w:ind w:left="480" w:hanging="480"/>
        <w:rPr>
          <w:rFonts w:cs="Calibri"/>
          <w:noProof/>
          <w:sz w:val="24"/>
          <w:szCs w:val="24"/>
        </w:rPr>
      </w:pPr>
      <w:r w:rsidRPr="00FD5AF9">
        <w:rPr>
          <w:rFonts w:cs="Calibri"/>
          <w:noProof/>
          <w:sz w:val="24"/>
          <w:szCs w:val="24"/>
        </w:rPr>
        <w:t xml:space="preserve">Kumar, Manoj et al. 2008. “Virologic and Histologic Features of Chronic Hepatitis B Virus-Infected Asymptomatic Patients With Persistently Normal ALT.” </w:t>
      </w:r>
      <w:r w:rsidRPr="00FD5AF9">
        <w:rPr>
          <w:rFonts w:cs="Calibri"/>
          <w:i/>
          <w:iCs/>
          <w:noProof/>
          <w:sz w:val="24"/>
          <w:szCs w:val="24"/>
        </w:rPr>
        <w:t>Gastroenterology</w:t>
      </w:r>
      <w:r w:rsidRPr="00FD5AF9">
        <w:rPr>
          <w:rFonts w:cs="Calibri"/>
          <w:noProof/>
          <w:sz w:val="24"/>
          <w:szCs w:val="24"/>
        </w:rPr>
        <w:t xml:space="preserve"> 134(5): 1376–84.</w:t>
      </w:r>
    </w:p>
    <w:p w14:paraId="4EB14940" w14:textId="77777777" w:rsidR="00FD5AF9" w:rsidRPr="00FD5AF9" w:rsidRDefault="00FD5AF9" w:rsidP="00FD5AF9">
      <w:pPr>
        <w:widowControl w:val="0"/>
        <w:autoSpaceDE w:val="0"/>
        <w:autoSpaceDN w:val="0"/>
        <w:adjustRightInd w:val="0"/>
        <w:spacing w:after="0" w:line="240" w:lineRule="auto"/>
        <w:ind w:left="480" w:hanging="480"/>
        <w:rPr>
          <w:rFonts w:cs="Calibri"/>
          <w:noProof/>
          <w:sz w:val="24"/>
          <w:szCs w:val="24"/>
        </w:rPr>
      </w:pPr>
      <w:r w:rsidRPr="00FD5AF9">
        <w:rPr>
          <w:rFonts w:cs="Calibri"/>
          <w:noProof/>
          <w:sz w:val="24"/>
          <w:szCs w:val="24"/>
        </w:rPr>
        <w:t xml:space="preserve">Mansour-Ghanaei, Fariborz et al. 2012. “Decreased Serum Total T3 Level in Hepatitis B and C Related Cirrhosis by Severity of Liver Damage.” </w:t>
      </w:r>
      <w:r w:rsidRPr="00FD5AF9">
        <w:rPr>
          <w:rFonts w:cs="Calibri"/>
          <w:i/>
          <w:iCs/>
          <w:noProof/>
          <w:sz w:val="24"/>
          <w:szCs w:val="24"/>
        </w:rPr>
        <w:t>Ann Hepatol</w:t>
      </w:r>
      <w:r w:rsidRPr="00FD5AF9">
        <w:rPr>
          <w:rFonts w:cs="Calibri"/>
          <w:noProof/>
          <w:sz w:val="24"/>
          <w:szCs w:val="24"/>
        </w:rPr>
        <w:t xml:space="preserve"> 11(5): 667–71.</w:t>
      </w:r>
    </w:p>
    <w:p w14:paraId="025406F4" w14:textId="77777777" w:rsidR="00FD5AF9" w:rsidRPr="00FD5AF9" w:rsidRDefault="00FD5AF9" w:rsidP="00FD5AF9">
      <w:pPr>
        <w:widowControl w:val="0"/>
        <w:autoSpaceDE w:val="0"/>
        <w:autoSpaceDN w:val="0"/>
        <w:adjustRightInd w:val="0"/>
        <w:spacing w:after="0" w:line="240" w:lineRule="auto"/>
        <w:ind w:left="480" w:hanging="480"/>
        <w:rPr>
          <w:rFonts w:cs="Calibri"/>
          <w:noProof/>
          <w:sz w:val="24"/>
          <w:szCs w:val="24"/>
        </w:rPr>
      </w:pPr>
      <w:r w:rsidRPr="00FD5AF9">
        <w:rPr>
          <w:rFonts w:cs="Calibri"/>
          <w:noProof/>
          <w:sz w:val="24"/>
          <w:szCs w:val="24"/>
        </w:rPr>
        <w:t xml:space="preserve">Mansourian, Azad Reza. 2013. “Liver Functional Behavior during Thyrotoxicosis: A Review.” </w:t>
      </w:r>
      <w:r w:rsidRPr="00FD5AF9">
        <w:rPr>
          <w:rFonts w:cs="Calibri"/>
          <w:i/>
          <w:iCs/>
          <w:noProof/>
          <w:sz w:val="24"/>
          <w:szCs w:val="24"/>
        </w:rPr>
        <w:t>Journal of Biological Sciences</w:t>
      </w:r>
      <w:r w:rsidRPr="00FD5AF9">
        <w:rPr>
          <w:rFonts w:cs="Calibri"/>
          <w:noProof/>
          <w:sz w:val="24"/>
          <w:szCs w:val="24"/>
        </w:rPr>
        <w:t xml:space="preserve"> 13(8): 665–78.</w:t>
      </w:r>
    </w:p>
    <w:p w14:paraId="6C9B64ED" w14:textId="77777777" w:rsidR="00FD5AF9" w:rsidRPr="00FD5AF9" w:rsidRDefault="00FD5AF9" w:rsidP="00FD5AF9">
      <w:pPr>
        <w:widowControl w:val="0"/>
        <w:autoSpaceDE w:val="0"/>
        <w:autoSpaceDN w:val="0"/>
        <w:adjustRightInd w:val="0"/>
        <w:spacing w:after="0" w:line="240" w:lineRule="auto"/>
        <w:ind w:left="480" w:hanging="480"/>
        <w:rPr>
          <w:rFonts w:cs="Calibri"/>
          <w:noProof/>
          <w:sz w:val="24"/>
          <w:szCs w:val="24"/>
        </w:rPr>
      </w:pPr>
      <w:r w:rsidRPr="00FD5AF9">
        <w:rPr>
          <w:rFonts w:cs="Calibri"/>
          <w:noProof/>
          <w:sz w:val="24"/>
          <w:szCs w:val="24"/>
        </w:rPr>
        <w:t xml:space="preserve">Mazo, Daniel Ferraz de Campos et al. 2013. “Clinical Spectrum and Therapeutic Approach to Hepatocellular Injury in Patients with Hyperthyroidism.” </w:t>
      </w:r>
      <w:r w:rsidRPr="00FD5AF9">
        <w:rPr>
          <w:rFonts w:cs="Calibri"/>
          <w:i/>
          <w:iCs/>
          <w:noProof/>
          <w:sz w:val="24"/>
          <w:szCs w:val="24"/>
        </w:rPr>
        <w:t>Clinical and Experimental Gastroenterology</w:t>
      </w:r>
      <w:r w:rsidRPr="00FD5AF9">
        <w:rPr>
          <w:rFonts w:cs="Calibri"/>
          <w:noProof/>
          <w:sz w:val="24"/>
          <w:szCs w:val="24"/>
        </w:rPr>
        <w:t xml:space="preserve"> 6(1): 9–17.</w:t>
      </w:r>
    </w:p>
    <w:p w14:paraId="207BD156" w14:textId="77777777" w:rsidR="00FD5AF9" w:rsidRPr="00FD5AF9" w:rsidRDefault="00FD5AF9" w:rsidP="00FD5AF9">
      <w:pPr>
        <w:widowControl w:val="0"/>
        <w:autoSpaceDE w:val="0"/>
        <w:autoSpaceDN w:val="0"/>
        <w:adjustRightInd w:val="0"/>
        <w:spacing w:after="0" w:line="240" w:lineRule="auto"/>
        <w:ind w:left="480" w:hanging="480"/>
        <w:rPr>
          <w:rFonts w:cs="Calibri"/>
          <w:noProof/>
          <w:sz w:val="24"/>
          <w:szCs w:val="24"/>
        </w:rPr>
      </w:pPr>
      <w:r w:rsidRPr="00FD5AF9">
        <w:rPr>
          <w:rFonts w:cs="Calibri"/>
          <w:noProof/>
          <w:sz w:val="24"/>
          <w:szCs w:val="24"/>
        </w:rPr>
        <w:t xml:space="preserve">Nasution, Melati Silvanni, Dharma Lindarto, and Tambar Kembaren. 2023. “Effect of Antiretroviral Therapy to Thyroid Function Status on New Stage 1 and 2 Human Immunodeficiency Virus Patient.” </w:t>
      </w:r>
      <w:r w:rsidRPr="00FD5AF9">
        <w:rPr>
          <w:rFonts w:cs="Calibri"/>
          <w:i/>
          <w:iCs/>
          <w:noProof/>
          <w:sz w:val="24"/>
          <w:szCs w:val="24"/>
        </w:rPr>
        <w:t>Open Access Macedonian Journal of Medical Sciences</w:t>
      </w:r>
      <w:r w:rsidRPr="00FD5AF9">
        <w:rPr>
          <w:rFonts w:cs="Calibri"/>
          <w:noProof/>
          <w:sz w:val="24"/>
          <w:szCs w:val="24"/>
        </w:rPr>
        <w:t xml:space="preserve"> 11(B): 376–79.</w:t>
      </w:r>
    </w:p>
    <w:p w14:paraId="491A96C0" w14:textId="77777777" w:rsidR="00FD5AF9" w:rsidRPr="00FD5AF9" w:rsidRDefault="00FD5AF9" w:rsidP="00FD5AF9">
      <w:pPr>
        <w:widowControl w:val="0"/>
        <w:autoSpaceDE w:val="0"/>
        <w:autoSpaceDN w:val="0"/>
        <w:adjustRightInd w:val="0"/>
        <w:spacing w:after="0" w:line="240" w:lineRule="auto"/>
        <w:ind w:left="480" w:hanging="480"/>
        <w:rPr>
          <w:rFonts w:cs="Calibri"/>
          <w:noProof/>
          <w:sz w:val="24"/>
          <w:szCs w:val="24"/>
        </w:rPr>
      </w:pPr>
      <w:r w:rsidRPr="00FD5AF9">
        <w:rPr>
          <w:rFonts w:cs="Calibri"/>
          <w:noProof/>
          <w:sz w:val="24"/>
          <w:szCs w:val="24"/>
        </w:rPr>
        <w:t>Ockenga, J., Grimble, R., Jonkers-Schuitema, C., Macallan, D., Melchior, J. C., Sauerwein, H. P., et al. 2006. "ESPEN Guidelines on Enteral Nutrition: Wasting in HIV and Other Chronic Infectious Diseases." </w:t>
      </w:r>
      <w:r w:rsidRPr="00FD5AF9">
        <w:rPr>
          <w:rFonts w:cs="Calibri"/>
          <w:i/>
          <w:iCs/>
          <w:noProof/>
          <w:sz w:val="24"/>
          <w:szCs w:val="24"/>
        </w:rPr>
        <w:t>Clinical Nutrition 25</w:t>
      </w:r>
      <w:r w:rsidRPr="00FD5AF9">
        <w:rPr>
          <w:rFonts w:cs="Calibri"/>
          <w:noProof/>
          <w:sz w:val="24"/>
          <w:szCs w:val="24"/>
        </w:rPr>
        <w:t xml:space="preserve">(2): 319–329. </w:t>
      </w:r>
    </w:p>
    <w:p w14:paraId="1C161AAB" w14:textId="77777777" w:rsidR="00FD5AF9" w:rsidRPr="00FD5AF9" w:rsidRDefault="00FD5AF9" w:rsidP="00FD5AF9">
      <w:pPr>
        <w:widowControl w:val="0"/>
        <w:autoSpaceDE w:val="0"/>
        <w:autoSpaceDN w:val="0"/>
        <w:adjustRightInd w:val="0"/>
        <w:spacing w:after="0" w:line="240" w:lineRule="auto"/>
        <w:ind w:left="480" w:hanging="480"/>
        <w:rPr>
          <w:rFonts w:cs="Calibri"/>
          <w:noProof/>
          <w:sz w:val="24"/>
          <w:szCs w:val="24"/>
        </w:rPr>
      </w:pPr>
      <w:r w:rsidRPr="00FD5AF9">
        <w:rPr>
          <w:rFonts w:cs="Calibri"/>
          <w:noProof/>
          <w:sz w:val="24"/>
          <w:szCs w:val="24"/>
        </w:rPr>
        <w:t xml:space="preserve">Olkkola, Klaus T., and Jouni Ahonen. 2001. “Drug Interactions.” </w:t>
      </w:r>
      <w:r w:rsidRPr="00FD5AF9">
        <w:rPr>
          <w:rFonts w:cs="Calibri"/>
          <w:i/>
          <w:iCs/>
          <w:noProof/>
          <w:sz w:val="24"/>
          <w:szCs w:val="24"/>
        </w:rPr>
        <w:t>Current Opinion in Anaesthesiology</w:t>
      </w:r>
      <w:r w:rsidRPr="00FD5AF9">
        <w:rPr>
          <w:rFonts w:cs="Calibri"/>
          <w:noProof/>
          <w:sz w:val="24"/>
          <w:szCs w:val="24"/>
        </w:rPr>
        <w:t xml:space="preserve"> 14(4): 411–16.</w:t>
      </w:r>
    </w:p>
    <w:p w14:paraId="1709E093" w14:textId="77777777" w:rsidR="00FD5AF9" w:rsidRPr="00FD5AF9" w:rsidRDefault="00FD5AF9" w:rsidP="00FD5AF9">
      <w:pPr>
        <w:widowControl w:val="0"/>
        <w:autoSpaceDE w:val="0"/>
        <w:autoSpaceDN w:val="0"/>
        <w:adjustRightInd w:val="0"/>
        <w:spacing w:after="0" w:line="240" w:lineRule="auto"/>
        <w:ind w:left="480" w:hanging="480"/>
        <w:rPr>
          <w:rFonts w:cs="Calibri"/>
          <w:noProof/>
          <w:sz w:val="24"/>
          <w:szCs w:val="24"/>
        </w:rPr>
      </w:pPr>
      <w:r w:rsidRPr="00FD5AF9">
        <w:rPr>
          <w:rFonts w:cs="Calibri"/>
          <w:noProof/>
          <w:sz w:val="24"/>
          <w:szCs w:val="24"/>
        </w:rPr>
        <w:t xml:space="preserve">Parsa, Alan A., and Amrit Bhangoo. 2013. “HIV and Thyroid Dysfunction.” </w:t>
      </w:r>
      <w:r w:rsidRPr="00FD5AF9">
        <w:rPr>
          <w:rFonts w:cs="Calibri"/>
          <w:i/>
          <w:iCs/>
          <w:noProof/>
          <w:sz w:val="24"/>
          <w:szCs w:val="24"/>
        </w:rPr>
        <w:t>Reviews in Endocrine and Metabolic Disorders</w:t>
      </w:r>
      <w:r w:rsidRPr="00FD5AF9">
        <w:rPr>
          <w:rFonts w:cs="Calibri"/>
          <w:noProof/>
          <w:sz w:val="24"/>
          <w:szCs w:val="24"/>
        </w:rPr>
        <w:t xml:space="preserve"> 14: 127–31.</w:t>
      </w:r>
    </w:p>
    <w:p w14:paraId="70F921B2" w14:textId="77777777" w:rsidR="00FD5AF9" w:rsidRPr="00FD5AF9" w:rsidRDefault="00FD5AF9" w:rsidP="00FD5AF9">
      <w:pPr>
        <w:widowControl w:val="0"/>
        <w:autoSpaceDE w:val="0"/>
        <w:autoSpaceDN w:val="0"/>
        <w:adjustRightInd w:val="0"/>
        <w:spacing w:after="0" w:line="240" w:lineRule="auto"/>
        <w:ind w:left="480" w:hanging="480"/>
        <w:rPr>
          <w:rFonts w:cs="Calibri"/>
          <w:noProof/>
          <w:sz w:val="24"/>
          <w:szCs w:val="24"/>
        </w:rPr>
      </w:pPr>
      <w:r w:rsidRPr="00FD5AF9">
        <w:rPr>
          <w:rFonts w:cs="Calibri"/>
          <w:noProof/>
          <w:sz w:val="24"/>
          <w:szCs w:val="24"/>
        </w:rPr>
        <w:t xml:space="preserve">Rasul, Samad et al. 2011. “Graves’ Disease as a Manifestation of Immune Reconstitution in HIV-Infected Individuals after Initiation of Highly Active Antiretroviral Therapy.” </w:t>
      </w:r>
      <w:r w:rsidRPr="00FD5AF9">
        <w:rPr>
          <w:rFonts w:cs="Calibri"/>
          <w:i/>
          <w:iCs/>
          <w:noProof/>
          <w:sz w:val="24"/>
          <w:szCs w:val="24"/>
        </w:rPr>
        <w:t>AIDS Research and Treatment</w:t>
      </w:r>
      <w:r w:rsidRPr="00FD5AF9">
        <w:rPr>
          <w:rFonts w:cs="Calibri"/>
          <w:noProof/>
          <w:sz w:val="24"/>
          <w:szCs w:val="24"/>
        </w:rPr>
        <w:t xml:space="preserve"> 2011.</w:t>
      </w:r>
    </w:p>
    <w:p w14:paraId="208E8FA5" w14:textId="77777777" w:rsidR="00FD5AF9" w:rsidRPr="00FD5AF9" w:rsidRDefault="00FD5AF9" w:rsidP="00FD5AF9">
      <w:pPr>
        <w:widowControl w:val="0"/>
        <w:autoSpaceDE w:val="0"/>
        <w:autoSpaceDN w:val="0"/>
        <w:adjustRightInd w:val="0"/>
        <w:spacing w:after="0" w:line="240" w:lineRule="auto"/>
        <w:ind w:left="480" w:hanging="480"/>
        <w:rPr>
          <w:rFonts w:cs="Calibri"/>
          <w:noProof/>
          <w:sz w:val="24"/>
          <w:szCs w:val="24"/>
        </w:rPr>
      </w:pPr>
      <w:r w:rsidRPr="00FD5AF9">
        <w:rPr>
          <w:rFonts w:cs="Calibri"/>
          <w:noProof/>
          <w:sz w:val="24"/>
          <w:szCs w:val="24"/>
        </w:rPr>
        <w:t xml:space="preserve">Ross, DS et al. 2016. “2016 American Thyroid Association Guidelines for Diagnosis and Management of Hyperthyroidism and Other Causes of Thyrotoxicosis.” </w:t>
      </w:r>
      <w:r w:rsidRPr="00FD5AF9">
        <w:rPr>
          <w:rFonts w:cs="Calibri"/>
          <w:i/>
          <w:iCs/>
          <w:noProof/>
          <w:sz w:val="24"/>
          <w:szCs w:val="24"/>
        </w:rPr>
        <w:t>Thyroid</w:t>
      </w:r>
      <w:r w:rsidRPr="00FD5AF9">
        <w:rPr>
          <w:rFonts w:cs="Calibri"/>
          <w:noProof/>
          <w:sz w:val="24"/>
          <w:szCs w:val="24"/>
        </w:rPr>
        <w:t xml:space="preserve"> 26(10): 1343.</w:t>
      </w:r>
    </w:p>
    <w:p w14:paraId="182968A9" w14:textId="77777777" w:rsidR="00FD5AF9" w:rsidRPr="00FD5AF9" w:rsidRDefault="00FD5AF9" w:rsidP="00FD5AF9">
      <w:pPr>
        <w:widowControl w:val="0"/>
        <w:autoSpaceDE w:val="0"/>
        <w:autoSpaceDN w:val="0"/>
        <w:adjustRightInd w:val="0"/>
        <w:spacing w:after="0" w:line="240" w:lineRule="auto"/>
        <w:ind w:left="480" w:hanging="480"/>
        <w:rPr>
          <w:rFonts w:cs="Calibri"/>
          <w:noProof/>
          <w:sz w:val="24"/>
          <w:szCs w:val="24"/>
        </w:rPr>
      </w:pPr>
      <w:r w:rsidRPr="00FD5AF9">
        <w:rPr>
          <w:rFonts w:cs="Calibri"/>
          <w:noProof/>
          <w:sz w:val="24"/>
          <w:szCs w:val="24"/>
        </w:rPr>
        <w:t xml:space="preserve">Satoh, Tetsurou et al. 2016. “2016 Guidelines for the Management of Thyroid Storm from The Japan Thyroid Association and Japan Endocrine Society (First Edition): The Japan Thyroid Association and Japan Endocrine Society Taskforce Committee for the Establishment of Diagnostic Criteria .” </w:t>
      </w:r>
      <w:r w:rsidRPr="00FD5AF9">
        <w:rPr>
          <w:rFonts w:cs="Calibri"/>
          <w:i/>
          <w:iCs/>
          <w:noProof/>
          <w:sz w:val="24"/>
          <w:szCs w:val="24"/>
        </w:rPr>
        <w:t>Endocrine Journal</w:t>
      </w:r>
      <w:r w:rsidRPr="00FD5AF9">
        <w:rPr>
          <w:rFonts w:cs="Calibri"/>
          <w:noProof/>
          <w:sz w:val="24"/>
          <w:szCs w:val="24"/>
        </w:rPr>
        <w:t xml:space="preserve"> 63(12): 1025–64.</w:t>
      </w:r>
    </w:p>
    <w:p w14:paraId="07A0EC52" w14:textId="77777777" w:rsidR="00FD5AF9" w:rsidRPr="00FD5AF9" w:rsidRDefault="00FD5AF9" w:rsidP="00FD5AF9">
      <w:pPr>
        <w:widowControl w:val="0"/>
        <w:autoSpaceDE w:val="0"/>
        <w:autoSpaceDN w:val="0"/>
        <w:adjustRightInd w:val="0"/>
        <w:spacing w:after="0" w:line="240" w:lineRule="auto"/>
        <w:ind w:left="480" w:hanging="480"/>
        <w:rPr>
          <w:rFonts w:cs="Calibri"/>
          <w:noProof/>
          <w:sz w:val="24"/>
          <w:szCs w:val="24"/>
        </w:rPr>
      </w:pPr>
      <w:r w:rsidRPr="00FD5AF9">
        <w:rPr>
          <w:rFonts w:cs="Calibri"/>
          <w:noProof/>
          <w:sz w:val="24"/>
          <w:szCs w:val="24"/>
        </w:rPr>
        <w:t xml:space="preserve">Sheikh, Virginia et al. 2014. “Graves’ Disease as Immune Reconstitution Disease in HIV-Positive Patients Is Associated with Naive and Primary Thymic Emigrant CD4+ T-Cell Recovery.” </w:t>
      </w:r>
      <w:r w:rsidRPr="00FD5AF9">
        <w:rPr>
          <w:rFonts w:cs="Calibri"/>
          <w:i/>
          <w:iCs/>
          <w:noProof/>
          <w:sz w:val="24"/>
          <w:szCs w:val="24"/>
        </w:rPr>
        <w:t>AIDS</w:t>
      </w:r>
      <w:r w:rsidRPr="00FD5AF9">
        <w:rPr>
          <w:rFonts w:cs="Calibri"/>
          <w:noProof/>
          <w:sz w:val="24"/>
          <w:szCs w:val="24"/>
        </w:rPr>
        <w:t xml:space="preserve"> 28(1): 31–39.</w:t>
      </w:r>
    </w:p>
    <w:p w14:paraId="4396BFDC" w14:textId="77777777" w:rsidR="00FD5AF9" w:rsidRPr="00FD5AF9" w:rsidRDefault="00FD5AF9" w:rsidP="00FD5AF9">
      <w:pPr>
        <w:widowControl w:val="0"/>
        <w:autoSpaceDE w:val="0"/>
        <w:autoSpaceDN w:val="0"/>
        <w:adjustRightInd w:val="0"/>
        <w:spacing w:after="0" w:line="240" w:lineRule="auto"/>
        <w:ind w:left="480" w:hanging="480"/>
        <w:rPr>
          <w:rFonts w:cs="Calibri"/>
          <w:noProof/>
          <w:sz w:val="24"/>
          <w:szCs w:val="24"/>
        </w:rPr>
      </w:pPr>
      <w:r w:rsidRPr="00FD5AF9">
        <w:rPr>
          <w:rFonts w:cs="Calibri"/>
          <w:noProof/>
          <w:sz w:val="24"/>
          <w:szCs w:val="24"/>
        </w:rPr>
        <w:t xml:space="preserve">Silva, G. A., M. C. Andrade, and A. Sugui D. 2015. “Association between Antiretrovirals and Thyroid Diseases: A Cross-Sectional Study.” </w:t>
      </w:r>
      <w:r w:rsidRPr="00FD5AF9">
        <w:rPr>
          <w:rFonts w:cs="Calibri"/>
          <w:i/>
          <w:iCs/>
          <w:noProof/>
          <w:sz w:val="24"/>
          <w:szCs w:val="24"/>
        </w:rPr>
        <w:t>Archives of Endocrinology and Metabolism</w:t>
      </w:r>
      <w:r w:rsidRPr="00FD5AF9">
        <w:rPr>
          <w:rFonts w:cs="Calibri"/>
          <w:noProof/>
          <w:sz w:val="24"/>
          <w:szCs w:val="24"/>
        </w:rPr>
        <w:t xml:space="preserve"> 59(2): 116–22.</w:t>
      </w:r>
    </w:p>
    <w:p w14:paraId="094B2BFF" w14:textId="77777777" w:rsidR="00FD5AF9" w:rsidRPr="00FD5AF9" w:rsidRDefault="00FD5AF9" w:rsidP="00FD5AF9">
      <w:pPr>
        <w:widowControl w:val="0"/>
        <w:autoSpaceDE w:val="0"/>
        <w:autoSpaceDN w:val="0"/>
        <w:adjustRightInd w:val="0"/>
        <w:spacing w:after="0" w:line="240" w:lineRule="auto"/>
        <w:ind w:left="480" w:hanging="480"/>
        <w:rPr>
          <w:rFonts w:cs="Calibri"/>
          <w:noProof/>
          <w:sz w:val="24"/>
          <w:szCs w:val="24"/>
        </w:rPr>
      </w:pPr>
      <w:r w:rsidRPr="00FD5AF9">
        <w:rPr>
          <w:rFonts w:cs="Calibri"/>
          <w:noProof/>
          <w:sz w:val="24"/>
          <w:szCs w:val="24"/>
        </w:rPr>
        <w:t xml:space="preserve">Verma, Sudhir Kumar et al. 2017. “Thyroid Profile in Patients of Cirrhosis of Liver: A Cross-Sectional Study.” </w:t>
      </w:r>
      <w:r w:rsidRPr="00FD5AF9">
        <w:rPr>
          <w:rFonts w:cs="Calibri"/>
          <w:i/>
          <w:iCs/>
          <w:noProof/>
          <w:sz w:val="24"/>
          <w:szCs w:val="24"/>
        </w:rPr>
        <w:t>Journal of Clinical and Diagnostic Research</w:t>
      </w:r>
      <w:r w:rsidRPr="00FD5AF9">
        <w:rPr>
          <w:rFonts w:cs="Calibri"/>
          <w:noProof/>
          <w:sz w:val="24"/>
          <w:szCs w:val="24"/>
        </w:rPr>
        <w:t xml:space="preserve"> 11(12): OC06–9.</w:t>
      </w:r>
    </w:p>
    <w:p w14:paraId="23E39DA5" w14:textId="77777777" w:rsidR="00FD5AF9" w:rsidRPr="00FD5AF9" w:rsidRDefault="00FD5AF9" w:rsidP="00FD5AF9">
      <w:pPr>
        <w:widowControl w:val="0"/>
        <w:autoSpaceDE w:val="0"/>
        <w:autoSpaceDN w:val="0"/>
        <w:adjustRightInd w:val="0"/>
        <w:spacing w:after="0" w:line="240" w:lineRule="auto"/>
        <w:ind w:left="480" w:hanging="480"/>
        <w:rPr>
          <w:rFonts w:cs="Calibri"/>
          <w:noProof/>
          <w:sz w:val="24"/>
          <w:szCs w:val="24"/>
        </w:rPr>
      </w:pPr>
      <w:r w:rsidRPr="00FD5AF9">
        <w:rPr>
          <w:rFonts w:cs="Calibri"/>
          <w:noProof/>
          <w:sz w:val="24"/>
          <w:szCs w:val="24"/>
        </w:rPr>
        <w:t>Weinberg, Melissa, and Morris Schambelan. 2019. “Thyroid Gland Dysfunction in the Patient with HIV.” : 1–9.</w:t>
      </w:r>
    </w:p>
    <w:p w14:paraId="6E238BC5" w14:textId="77777777" w:rsidR="00FD5AF9" w:rsidRPr="00FD5AF9" w:rsidRDefault="00FD5AF9" w:rsidP="00FD5AF9">
      <w:pPr>
        <w:widowControl w:val="0"/>
        <w:autoSpaceDE w:val="0"/>
        <w:autoSpaceDN w:val="0"/>
        <w:adjustRightInd w:val="0"/>
        <w:spacing w:after="0" w:line="240" w:lineRule="auto"/>
        <w:ind w:left="480" w:hanging="480"/>
        <w:rPr>
          <w:rFonts w:cs="Calibri"/>
          <w:noProof/>
          <w:sz w:val="24"/>
          <w:szCs w:val="24"/>
        </w:rPr>
      </w:pPr>
      <w:r w:rsidRPr="00FD5AF9">
        <w:rPr>
          <w:rFonts w:cs="Calibri"/>
          <w:noProof/>
          <w:sz w:val="24"/>
          <w:szCs w:val="24"/>
        </w:rPr>
        <w:t xml:space="preserve">Xu, M. Y., Cao, B., Yin, J., Wang, D. F., Chen, K. L., &amp; Lu, Q. B. 2015. "Vitamin D and Graves' </w:t>
      </w:r>
      <w:r w:rsidRPr="00FD5AF9">
        <w:rPr>
          <w:rFonts w:cs="Calibri"/>
          <w:noProof/>
          <w:sz w:val="24"/>
          <w:szCs w:val="24"/>
        </w:rPr>
        <w:lastRenderedPageBreak/>
        <w:t>Disease: A Meta-analysis Update." </w:t>
      </w:r>
      <w:r w:rsidRPr="00FD5AF9">
        <w:rPr>
          <w:rFonts w:cs="Calibri"/>
          <w:i/>
          <w:iCs/>
          <w:noProof/>
          <w:sz w:val="24"/>
          <w:szCs w:val="24"/>
        </w:rPr>
        <w:t>Nutrients</w:t>
      </w:r>
      <w:r w:rsidRPr="00FD5AF9">
        <w:rPr>
          <w:rFonts w:cs="Calibri"/>
          <w:noProof/>
          <w:sz w:val="24"/>
          <w:szCs w:val="24"/>
        </w:rPr>
        <w:t xml:space="preserve"> </w:t>
      </w:r>
      <w:r w:rsidRPr="00FD5AF9">
        <w:rPr>
          <w:rFonts w:cs="Calibri"/>
          <w:i/>
          <w:iCs/>
          <w:noProof/>
          <w:sz w:val="24"/>
          <w:szCs w:val="24"/>
        </w:rPr>
        <w:t>7</w:t>
      </w:r>
      <w:r w:rsidRPr="00FD5AF9">
        <w:rPr>
          <w:rFonts w:cs="Calibri"/>
          <w:noProof/>
          <w:sz w:val="24"/>
          <w:szCs w:val="24"/>
        </w:rPr>
        <w:t xml:space="preserve">(5): 3813–3827. </w:t>
      </w:r>
    </w:p>
    <w:p w14:paraId="64B5F3AF" w14:textId="77777777" w:rsidR="00FD5AF9" w:rsidRPr="00FD5AF9" w:rsidRDefault="00FD5AF9" w:rsidP="00FD5AF9">
      <w:pPr>
        <w:widowControl w:val="0"/>
        <w:autoSpaceDE w:val="0"/>
        <w:autoSpaceDN w:val="0"/>
        <w:adjustRightInd w:val="0"/>
        <w:spacing w:after="0" w:line="240" w:lineRule="auto"/>
        <w:ind w:left="480" w:hanging="480"/>
        <w:rPr>
          <w:rFonts w:cs="Calibri"/>
          <w:noProof/>
          <w:sz w:val="24"/>
          <w:szCs w:val="24"/>
        </w:rPr>
      </w:pPr>
      <w:r w:rsidRPr="00FD5AF9">
        <w:rPr>
          <w:rFonts w:cs="Calibri"/>
          <w:noProof/>
          <w:sz w:val="24"/>
          <w:szCs w:val="24"/>
        </w:rPr>
        <w:t xml:space="preserve">Yu, Wenshu et al. 2020. “Side Effects of PTU and MMI in the Treatment of Hyperthyroidism: A Systematic Review and Meta-Analysis.” </w:t>
      </w:r>
      <w:r w:rsidRPr="00FD5AF9">
        <w:rPr>
          <w:rFonts w:cs="Calibri"/>
          <w:i/>
          <w:iCs/>
          <w:noProof/>
          <w:sz w:val="24"/>
          <w:szCs w:val="24"/>
        </w:rPr>
        <w:t>Endocrine Practice</w:t>
      </w:r>
      <w:r w:rsidRPr="00FD5AF9">
        <w:rPr>
          <w:rFonts w:cs="Calibri"/>
          <w:noProof/>
          <w:sz w:val="24"/>
          <w:szCs w:val="24"/>
        </w:rPr>
        <w:t xml:space="preserve"> 26(2): 207–17.</w:t>
      </w:r>
    </w:p>
    <w:p w14:paraId="335268CD" w14:textId="77777777" w:rsidR="00FD5AF9" w:rsidRPr="00FD5AF9" w:rsidRDefault="00FD5AF9" w:rsidP="00FD5AF9">
      <w:pPr>
        <w:spacing w:after="0" w:line="240" w:lineRule="auto"/>
        <w:rPr>
          <w:sz w:val="24"/>
          <w:szCs w:val="24"/>
        </w:rPr>
      </w:pPr>
      <w:r w:rsidRPr="00FD5AF9">
        <w:rPr>
          <w:sz w:val="24"/>
          <w:szCs w:val="24"/>
        </w:rPr>
        <w:fldChar w:fldCharType="end"/>
      </w:r>
    </w:p>
    <w:p w14:paraId="26799747" w14:textId="77777777" w:rsidR="00794118" w:rsidRPr="00794118" w:rsidRDefault="00794118" w:rsidP="00794118">
      <w:pPr>
        <w:spacing w:after="0" w:line="240" w:lineRule="auto"/>
        <w:rPr>
          <w:b/>
          <w:bCs/>
          <w:sz w:val="24"/>
          <w:szCs w:val="24"/>
        </w:rPr>
      </w:pPr>
    </w:p>
    <w:p w14:paraId="76E4E00F" w14:textId="77777777" w:rsidR="00794118" w:rsidRPr="00794118" w:rsidRDefault="00794118" w:rsidP="00794118">
      <w:pPr>
        <w:spacing w:after="0" w:line="240" w:lineRule="auto"/>
        <w:rPr>
          <w:sz w:val="24"/>
          <w:szCs w:val="24"/>
        </w:rPr>
      </w:pPr>
    </w:p>
    <w:p w14:paraId="5E43AC1E" w14:textId="77777777" w:rsidR="00794118" w:rsidRPr="00794118" w:rsidRDefault="00794118" w:rsidP="00794118">
      <w:pPr>
        <w:spacing w:after="0" w:line="240" w:lineRule="auto"/>
        <w:rPr>
          <w:b/>
          <w:bCs/>
          <w:sz w:val="24"/>
          <w:szCs w:val="24"/>
        </w:rPr>
      </w:pPr>
    </w:p>
    <w:p w14:paraId="1872E012" w14:textId="77777777" w:rsidR="00794118" w:rsidRPr="00794118" w:rsidRDefault="00794118" w:rsidP="00794118">
      <w:pPr>
        <w:spacing w:after="0" w:line="240" w:lineRule="auto"/>
        <w:rPr>
          <w:sz w:val="24"/>
          <w:szCs w:val="24"/>
        </w:rPr>
      </w:pPr>
    </w:p>
    <w:p w14:paraId="3E094D20" w14:textId="77777777" w:rsidR="003C15F7" w:rsidRPr="003C15F7" w:rsidRDefault="003C15F7" w:rsidP="003C15F7"/>
    <w:sectPr w:rsidR="003C15F7" w:rsidRPr="003C15F7" w:rsidSect="00F636C2">
      <w:headerReference w:type="default" r:id="rId6"/>
      <w:footerReference w:type="default" r:id="rId7"/>
      <w:pgSz w:w="12240" w:h="15840"/>
      <w:pgMar w:top="1440" w:right="1440" w:bottom="1440" w:left="1440" w:header="450" w:footer="373"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A59C083" w14:textId="77777777" w:rsidR="00EB7C5D" w:rsidRDefault="00EB7C5D" w:rsidP="0089522A">
      <w:pPr>
        <w:spacing w:after="0" w:line="240" w:lineRule="auto"/>
      </w:pPr>
      <w:r>
        <w:separator/>
      </w:r>
    </w:p>
  </w:endnote>
  <w:endnote w:type="continuationSeparator" w:id="0">
    <w:p w14:paraId="08951CF8" w14:textId="77777777" w:rsidR="00EB7C5D" w:rsidRDefault="00EB7C5D" w:rsidP="008952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Junicode">
    <w:altName w:val="Calibri"/>
    <w:charset w:val="00"/>
    <w:family w:val="roman"/>
    <w:pitch w:val="default"/>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52428C9" w14:textId="77777777" w:rsidR="0089522A" w:rsidRDefault="0089522A">
    <w:pPr>
      <w:pStyle w:val="Footer"/>
      <w:pBdr>
        <w:bottom w:val="single" w:sz="6" w:space="1" w:color="auto"/>
      </w:pBdr>
      <w:jc w:val="right"/>
      <w:rPr>
        <w:rFonts w:cs="Times New Roman"/>
      </w:rPr>
    </w:pPr>
  </w:p>
  <w:p w14:paraId="373D8F8C" w14:textId="77777777" w:rsidR="0089522A" w:rsidRPr="0089522A" w:rsidRDefault="0089522A">
    <w:pPr>
      <w:pStyle w:val="Footer"/>
      <w:jc w:val="right"/>
      <w:rPr>
        <w:rFonts w:cs="Times New Roman"/>
      </w:rPr>
    </w:pPr>
  </w:p>
  <w:tbl>
    <w:tblPr>
      <w:tblStyle w:val="TableGrid"/>
      <w:tblW w:w="93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55"/>
      <w:gridCol w:w="6100"/>
      <w:gridCol w:w="1796"/>
    </w:tblGrid>
    <w:tr w:rsidR="0089522A" w14:paraId="3507EAA2" w14:textId="77777777" w:rsidTr="0089522A">
      <w:tc>
        <w:tcPr>
          <w:tcW w:w="1455" w:type="dxa"/>
        </w:tcPr>
        <w:p w14:paraId="4FB8B03F" w14:textId="77777777" w:rsidR="0089522A" w:rsidRDefault="0089522A" w:rsidP="0089522A">
          <w:pPr>
            <w:pStyle w:val="Footer"/>
            <w:rPr>
              <w:rFonts w:cs="Times New Roman"/>
            </w:rPr>
          </w:pPr>
          <w:r>
            <w:rPr>
              <w:rFonts w:ascii="Junicode" w:hAnsi="Junicode"/>
              <w:noProof/>
              <w:color w:val="000000"/>
              <w:sz w:val="18"/>
              <w:szCs w:val="18"/>
            </w:rPr>
            <w:drawing>
              <wp:inline distT="0" distB="0" distL="0" distR="0" wp14:anchorId="667F5B97" wp14:editId="3EE99B88">
                <wp:extent cx="786978" cy="278627"/>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by-nc [Converted].emf"/>
                        <pic:cNvPicPr/>
                      </pic:nvPicPr>
                      <pic:blipFill>
                        <a:blip r:embed="rId1">
                          <a:extLst>
                            <a:ext uri="{28A0092B-C50C-407E-A947-70E740481C1C}">
                              <a14:useLocalDpi xmlns:a14="http://schemas.microsoft.com/office/drawing/2010/main" val="0"/>
                            </a:ext>
                          </a:extLst>
                        </a:blip>
                        <a:stretch>
                          <a:fillRect/>
                        </a:stretch>
                      </pic:blipFill>
                      <pic:spPr>
                        <a:xfrm>
                          <a:off x="0" y="0"/>
                          <a:ext cx="793319" cy="280872"/>
                        </a:xfrm>
                        <a:prstGeom prst="rect">
                          <a:avLst/>
                        </a:prstGeom>
                      </pic:spPr>
                    </pic:pic>
                  </a:graphicData>
                </a:graphic>
              </wp:inline>
            </w:drawing>
          </w:r>
          <w:r>
            <w:rPr>
              <w:rFonts w:ascii="Junicode" w:hAnsi="Junicode"/>
              <w:color w:val="000000"/>
              <w:sz w:val="18"/>
              <w:szCs w:val="18"/>
            </w:rPr>
            <w:t xml:space="preserve"> </w:t>
          </w:r>
        </w:p>
      </w:tc>
      <w:tc>
        <w:tcPr>
          <w:tcW w:w="6100" w:type="dxa"/>
        </w:tcPr>
        <w:p w14:paraId="7B4E382D" w14:textId="77777777" w:rsidR="0089522A" w:rsidRPr="0089522A" w:rsidRDefault="0089522A" w:rsidP="0089522A">
          <w:pPr>
            <w:pStyle w:val="Footer"/>
            <w:rPr>
              <w:rFonts w:cs="Times New Roman"/>
              <w:i/>
            </w:rPr>
          </w:pPr>
          <w:r w:rsidRPr="0089522A">
            <w:rPr>
              <w:rFonts w:ascii="Junicode" w:hAnsi="Junicode"/>
              <w:i/>
              <w:color w:val="000000"/>
              <w:sz w:val="18"/>
              <w:szCs w:val="18"/>
            </w:rPr>
            <w:t>This is an Creative Commons License This work is licensed under a Creative Commons Attribution-NonCommercial 4.0 International License</w:t>
          </w:r>
        </w:p>
      </w:tc>
      <w:tc>
        <w:tcPr>
          <w:tcW w:w="1796" w:type="dxa"/>
        </w:tcPr>
        <w:sdt>
          <w:sdtPr>
            <w:rPr>
              <w:rFonts w:cs="Times New Roman"/>
            </w:rPr>
            <w:id w:val="186182210"/>
            <w:docPartObj>
              <w:docPartGallery w:val="Page Numbers (Bottom of Page)"/>
              <w:docPartUnique/>
            </w:docPartObj>
          </w:sdtPr>
          <w:sdtEndPr>
            <w:rPr>
              <w:noProof/>
            </w:rPr>
          </w:sdtEndPr>
          <w:sdtContent>
            <w:p w14:paraId="02CE07A5" w14:textId="77777777" w:rsidR="0089522A" w:rsidRDefault="0089522A" w:rsidP="0089522A">
              <w:pPr>
                <w:pStyle w:val="Footer"/>
                <w:jc w:val="right"/>
                <w:rPr>
                  <w:rFonts w:cs="Times New Roman"/>
                  <w:noProof/>
                </w:rPr>
              </w:pPr>
              <w:r w:rsidRPr="0089522A">
                <w:rPr>
                  <w:rFonts w:cs="Times New Roman"/>
                </w:rPr>
                <w:fldChar w:fldCharType="begin"/>
              </w:r>
              <w:r w:rsidRPr="0089522A">
                <w:rPr>
                  <w:rFonts w:cs="Times New Roman"/>
                </w:rPr>
                <w:instrText xml:space="preserve"> PAGE   \* MERGEFORMAT </w:instrText>
              </w:r>
              <w:r w:rsidRPr="0089522A">
                <w:rPr>
                  <w:rFonts w:cs="Times New Roman"/>
                </w:rPr>
                <w:fldChar w:fldCharType="separate"/>
              </w:r>
              <w:r w:rsidR="00EB306E">
                <w:rPr>
                  <w:rFonts w:cs="Times New Roman"/>
                  <w:noProof/>
                </w:rPr>
                <w:t>6</w:t>
              </w:r>
              <w:r w:rsidRPr="0089522A">
                <w:rPr>
                  <w:rFonts w:cs="Times New Roman"/>
                  <w:noProof/>
                </w:rPr>
                <w:fldChar w:fldCharType="end"/>
              </w:r>
            </w:p>
          </w:sdtContent>
        </w:sdt>
      </w:tc>
    </w:tr>
  </w:tbl>
  <w:p w14:paraId="0BC10A58" w14:textId="77777777" w:rsidR="0089522A" w:rsidRPr="0089522A" w:rsidRDefault="0089522A">
    <w:pPr>
      <w:pStyle w:val="Footer"/>
      <w:rPr>
        <w:rFonts w:cs="Times New Roman"/>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CDCAD01" w14:textId="77777777" w:rsidR="00EB7C5D" w:rsidRDefault="00EB7C5D" w:rsidP="0089522A">
      <w:pPr>
        <w:spacing w:after="0" w:line="240" w:lineRule="auto"/>
      </w:pPr>
      <w:r>
        <w:separator/>
      </w:r>
    </w:p>
  </w:footnote>
  <w:footnote w:type="continuationSeparator" w:id="0">
    <w:p w14:paraId="252C2D2B" w14:textId="77777777" w:rsidR="00EB7C5D" w:rsidRDefault="00EB7C5D" w:rsidP="0089522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B615026" w14:textId="3B32E021" w:rsidR="0036554B" w:rsidRPr="0036554B" w:rsidRDefault="0036554B" w:rsidP="0036554B">
    <w:pPr>
      <w:spacing w:after="0" w:line="240" w:lineRule="auto"/>
      <w:jc w:val="left"/>
      <w:rPr>
        <w:rFonts w:cs="Times New Roman"/>
        <w:b/>
        <w:color w:val="FF66CC"/>
        <w:sz w:val="32"/>
      </w:rPr>
    </w:pPr>
    <w:r w:rsidRPr="0036554B">
      <w:rPr>
        <w:rFonts w:cs="Times New Roman"/>
        <w:b/>
        <w:color w:val="FF66CC"/>
        <w:sz w:val="32"/>
      </w:rPr>
      <w:t>HealthCaring: Jurnal Ilmiah Kesehatan</w:t>
    </w:r>
  </w:p>
  <w:p w14:paraId="0F4CAC22" w14:textId="60A3A50D" w:rsidR="0036554B" w:rsidRDefault="0036554B" w:rsidP="0036554B">
    <w:pPr>
      <w:pBdr>
        <w:bottom w:val="double" w:sz="6" w:space="1" w:color="auto"/>
      </w:pBdr>
      <w:spacing w:after="0" w:line="240" w:lineRule="auto"/>
      <w:jc w:val="left"/>
      <w:rPr>
        <w:rFonts w:cs="Times New Roman"/>
        <w:sz w:val="24"/>
        <w:szCs w:val="24"/>
      </w:rPr>
    </w:pPr>
    <w:r>
      <w:rPr>
        <w:rFonts w:cs="Times New Roman"/>
      </w:rPr>
      <w:t>V</w:t>
    </w:r>
    <w:r w:rsidR="00847057">
      <w:rPr>
        <w:rFonts w:cs="Times New Roman"/>
        <w:sz w:val="24"/>
        <w:szCs w:val="24"/>
      </w:rPr>
      <w:t>olume : 04 | Nomor 02 | Juli</w:t>
    </w:r>
    <w:r w:rsidR="0089522A" w:rsidRPr="00E06BD3">
      <w:rPr>
        <w:rFonts w:cs="Times New Roman"/>
        <w:sz w:val="24"/>
        <w:szCs w:val="24"/>
      </w:rPr>
      <w:t xml:space="preserve"> </w:t>
    </w:r>
    <w:r w:rsidR="00847057">
      <w:rPr>
        <w:rFonts w:cs="Times New Roman"/>
        <w:sz w:val="24"/>
        <w:szCs w:val="24"/>
      </w:rPr>
      <w:t>2025</w:t>
    </w:r>
    <w:r w:rsidR="0089522A" w:rsidRPr="00E06BD3">
      <w:rPr>
        <w:rFonts w:cs="Times New Roman"/>
        <w:sz w:val="24"/>
        <w:szCs w:val="24"/>
      </w:rPr>
      <w:t xml:space="preserve">| E-ISSN : </w:t>
    </w:r>
    <w:r w:rsidR="00FF306A" w:rsidRPr="00E06BD3">
      <w:rPr>
        <w:rFonts w:cs="Times New Roman"/>
        <w:sz w:val="24"/>
        <w:szCs w:val="24"/>
      </w:rPr>
      <w:t xml:space="preserve">2797-7161 </w:t>
    </w:r>
    <w:r w:rsidR="0089522A" w:rsidRPr="00E06BD3">
      <w:rPr>
        <w:rFonts w:cs="Times New Roman"/>
        <w:sz w:val="24"/>
        <w:szCs w:val="24"/>
      </w:rPr>
      <w:t xml:space="preserve">| </w:t>
    </w:r>
  </w:p>
  <w:p w14:paraId="0B743E3D" w14:textId="0F028DF6" w:rsidR="0089522A" w:rsidRDefault="0089522A" w:rsidP="0036554B">
    <w:pPr>
      <w:pBdr>
        <w:bottom w:val="double" w:sz="6" w:space="1" w:color="auto"/>
      </w:pBdr>
      <w:spacing w:after="0" w:line="240" w:lineRule="auto"/>
      <w:jc w:val="left"/>
      <w:rPr>
        <w:rFonts w:cs="Times New Roman"/>
        <w:sz w:val="24"/>
        <w:szCs w:val="24"/>
      </w:rPr>
    </w:pPr>
    <w:r w:rsidRPr="00E06BD3">
      <w:rPr>
        <w:rFonts w:cs="Times New Roman"/>
        <w:sz w:val="24"/>
        <w:szCs w:val="24"/>
      </w:rPr>
      <w:t>DOI: doi.org/</w:t>
    </w:r>
    <w:r w:rsidR="0036554B">
      <w:rPr>
        <w:rFonts w:cs="Times New Roman"/>
        <w:sz w:val="24"/>
        <w:szCs w:val="24"/>
      </w:rPr>
      <w:t>healthcaring</w:t>
    </w:r>
    <w:r w:rsidR="00F636C2">
      <w:rPr>
        <w:rFonts w:cs="Times New Roman"/>
        <w:sz w:val="24"/>
        <w:szCs w:val="24"/>
      </w:rPr>
      <w:t>.v4n</w:t>
    </w:r>
    <w:r w:rsidR="00847057">
      <w:rPr>
        <w:rFonts w:cs="Times New Roman"/>
        <w:sz w:val="24"/>
        <w:szCs w:val="24"/>
      </w:rPr>
      <w:t>2.202</w:t>
    </w:r>
    <w:r w:rsidR="00F636C2">
      <w:rPr>
        <w:rFonts w:cs="Times New Roman"/>
        <w:sz w:val="24"/>
        <w:szCs w:val="24"/>
      </w:rPr>
      <w:t>5</w:t>
    </w:r>
  </w:p>
  <w:p w14:paraId="0584723F" w14:textId="77777777" w:rsidR="0036554B" w:rsidRPr="001C6E93" w:rsidRDefault="0036554B" w:rsidP="0036554B">
    <w:pPr>
      <w:spacing w:after="0" w:line="240" w:lineRule="auto"/>
      <w:jc w:val="left"/>
      <w:rPr>
        <w:rFonts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63D7"/>
    <w:rsid w:val="0008282C"/>
    <w:rsid w:val="000A5CDA"/>
    <w:rsid w:val="000E2CF5"/>
    <w:rsid w:val="000E74A0"/>
    <w:rsid w:val="00137498"/>
    <w:rsid w:val="001763D7"/>
    <w:rsid w:val="001C6E93"/>
    <w:rsid w:val="002245A4"/>
    <w:rsid w:val="00247184"/>
    <w:rsid w:val="0025163D"/>
    <w:rsid w:val="002F3970"/>
    <w:rsid w:val="0036554B"/>
    <w:rsid w:val="003807B0"/>
    <w:rsid w:val="003C15F7"/>
    <w:rsid w:val="00440F67"/>
    <w:rsid w:val="004703D8"/>
    <w:rsid w:val="0047533C"/>
    <w:rsid w:val="00534F84"/>
    <w:rsid w:val="00664AE0"/>
    <w:rsid w:val="00687F8B"/>
    <w:rsid w:val="00794118"/>
    <w:rsid w:val="007A6B4A"/>
    <w:rsid w:val="00847057"/>
    <w:rsid w:val="008470BF"/>
    <w:rsid w:val="0089522A"/>
    <w:rsid w:val="008C425D"/>
    <w:rsid w:val="008E7BA3"/>
    <w:rsid w:val="009652C1"/>
    <w:rsid w:val="00966634"/>
    <w:rsid w:val="009B20C6"/>
    <w:rsid w:val="009E446C"/>
    <w:rsid w:val="009E5B3A"/>
    <w:rsid w:val="00A1747E"/>
    <w:rsid w:val="00A2587B"/>
    <w:rsid w:val="00A93296"/>
    <w:rsid w:val="00AA23B7"/>
    <w:rsid w:val="00AD48C6"/>
    <w:rsid w:val="00B1654E"/>
    <w:rsid w:val="00B21F17"/>
    <w:rsid w:val="00B70A42"/>
    <w:rsid w:val="00BA745A"/>
    <w:rsid w:val="00BE090C"/>
    <w:rsid w:val="00CA13DB"/>
    <w:rsid w:val="00D60338"/>
    <w:rsid w:val="00E06BD3"/>
    <w:rsid w:val="00E44A40"/>
    <w:rsid w:val="00EB306E"/>
    <w:rsid w:val="00EB7C5D"/>
    <w:rsid w:val="00F636C2"/>
    <w:rsid w:val="00FC78BE"/>
    <w:rsid w:val="00FD5AF9"/>
    <w:rsid w:val="00FF306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490FDE8"/>
  <w15:chartTrackingRefBased/>
  <w15:docId w15:val="{54CAD971-126B-4CC4-B6E4-4445BCA82C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C6E93"/>
    <w:pPr>
      <w:jc w:val="both"/>
    </w:pPr>
    <w:rPr>
      <w:rFonts w:ascii="Times New Roman" w:hAnsi="Times New Roman"/>
    </w:rPr>
  </w:style>
  <w:style w:type="paragraph" w:styleId="Heading1">
    <w:name w:val="heading 1"/>
    <w:basedOn w:val="Normal"/>
    <w:next w:val="Normal"/>
    <w:link w:val="Heading1Char"/>
    <w:uiPriority w:val="9"/>
    <w:qFormat/>
    <w:rsid w:val="003C15F7"/>
    <w:pPr>
      <w:keepNext/>
      <w:keepLines/>
      <w:spacing w:before="240" w:after="0"/>
      <w:outlineLvl w:val="0"/>
    </w:pPr>
    <w:rPr>
      <w:rFonts w:eastAsiaTheme="majorEastAsia" w:cstheme="majorBidi"/>
      <w:b/>
      <w:color w:val="000000" w:themeColor="text1"/>
      <w:sz w:val="26"/>
      <w:szCs w:val="32"/>
    </w:rPr>
  </w:style>
  <w:style w:type="paragraph" w:styleId="Heading2">
    <w:name w:val="heading 2"/>
    <w:basedOn w:val="Normal"/>
    <w:next w:val="Normal"/>
    <w:link w:val="Heading2Char"/>
    <w:uiPriority w:val="9"/>
    <w:unhideWhenUsed/>
    <w:qFormat/>
    <w:rsid w:val="003C15F7"/>
    <w:pPr>
      <w:keepNext/>
      <w:keepLines/>
      <w:spacing w:before="40" w:after="0"/>
      <w:jc w:val="left"/>
      <w:outlineLvl w:val="1"/>
    </w:pPr>
    <w:rPr>
      <w:rFonts w:eastAsiaTheme="majorEastAsia" w:cstheme="majorBidi"/>
      <w:b/>
      <w:color w:val="000000" w:themeColor="text1"/>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1763D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89522A"/>
    <w:pPr>
      <w:tabs>
        <w:tab w:val="center" w:pos="4680"/>
        <w:tab w:val="right" w:pos="9360"/>
      </w:tabs>
      <w:spacing w:after="0" w:line="240" w:lineRule="auto"/>
    </w:pPr>
  </w:style>
  <w:style w:type="character" w:customStyle="1" w:styleId="HeaderChar">
    <w:name w:val="Header Char"/>
    <w:basedOn w:val="DefaultParagraphFont"/>
    <w:link w:val="Header"/>
    <w:uiPriority w:val="99"/>
    <w:rsid w:val="0089522A"/>
  </w:style>
  <w:style w:type="paragraph" w:styleId="Footer">
    <w:name w:val="footer"/>
    <w:basedOn w:val="Normal"/>
    <w:link w:val="FooterChar"/>
    <w:uiPriority w:val="99"/>
    <w:unhideWhenUsed/>
    <w:rsid w:val="0089522A"/>
    <w:pPr>
      <w:tabs>
        <w:tab w:val="center" w:pos="4680"/>
        <w:tab w:val="right" w:pos="9360"/>
      </w:tabs>
      <w:spacing w:after="0" w:line="240" w:lineRule="auto"/>
    </w:pPr>
  </w:style>
  <w:style w:type="character" w:customStyle="1" w:styleId="FooterChar">
    <w:name w:val="Footer Char"/>
    <w:basedOn w:val="DefaultParagraphFont"/>
    <w:link w:val="Footer"/>
    <w:uiPriority w:val="99"/>
    <w:rsid w:val="0089522A"/>
  </w:style>
  <w:style w:type="paragraph" w:styleId="NormalWeb">
    <w:name w:val="Normal (Web)"/>
    <w:basedOn w:val="Normal"/>
    <w:uiPriority w:val="99"/>
    <w:unhideWhenUsed/>
    <w:rsid w:val="00A2587B"/>
    <w:pPr>
      <w:spacing w:before="100" w:beforeAutospacing="1" w:after="100" w:afterAutospacing="1" w:line="240" w:lineRule="auto"/>
    </w:pPr>
    <w:rPr>
      <w:rFonts w:eastAsia="Times New Roman" w:cs="Times New Roman"/>
      <w:sz w:val="24"/>
      <w:szCs w:val="24"/>
    </w:rPr>
  </w:style>
  <w:style w:type="paragraph" w:styleId="Title">
    <w:name w:val="Title"/>
    <w:basedOn w:val="Normal"/>
    <w:next w:val="Normal"/>
    <w:link w:val="TitleChar"/>
    <w:uiPriority w:val="10"/>
    <w:qFormat/>
    <w:rsid w:val="003C15F7"/>
    <w:pPr>
      <w:spacing w:after="0" w:line="240" w:lineRule="auto"/>
      <w:contextualSpacing/>
      <w:jc w:val="center"/>
    </w:pPr>
    <w:rPr>
      <w:rFonts w:eastAsiaTheme="majorEastAsia" w:cstheme="majorBidi"/>
      <w:b/>
      <w:spacing w:val="-10"/>
      <w:kern w:val="28"/>
      <w:sz w:val="32"/>
      <w:szCs w:val="56"/>
    </w:rPr>
  </w:style>
  <w:style w:type="character" w:customStyle="1" w:styleId="TitleChar">
    <w:name w:val="Title Char"/>
    <w:basedOn w:val="DefaultParagraphFont"/>
    <w:link w:val="Title"/>
    <w:uiPriority w:val="10"/>
    <w:rsid w:val="003C15F7"/>
    <w:rPr>
      <w:rFonts w:ascii="Times New Roman" w:eastAsiaTheme="majorEastAsia" w:hAnsi="Times New Roman" w:cstheme="majorBidi"/>
      <w:b/>
      <w:spacing w:val="-10"/>
      <w:kern w:val="28"/>
      <w:sz w:val="32"/>
      <w:szCs w:val="56"/>
    </w:rPr>
  </w:style>
  <w:style w:type="character" w:customStyle="1" w:styleId="Heading1Char">
    <w:name w:val="Heading 1 Char"/>
    <w:basedOn w:val="DefaultParagraphFont"/>
    <w:link w:val="Heading1"/>
    <w:uiPriority w:val="9"/>
    <w:rsid w:val="003C15F7"/>
    <w:rPr>
      <w:rFonts w:ascii="Times New Roman" w:eastAsiaTheme="majorEastAsia" w:hAnsi="Times New Roman" w:cstheme="majorBidi"/>
      <w:b/>
      <w:color w:val="000000" w:themeColor="text1"/>
      <w:sz w:val="26"/>
      <w:szCs w:val="32"/>
    </w:rPr>
  </w:style>
  <w:style w:type="character" w:customStyle="1" w:styleId="Heading2Char">
    <w:name w:val="Heading 2 Char"/>
    <w:basedOn w:val="DefaultParagraphFont"/>
    <w:link w:val="Heading2"/>
    <w:uiPriority w:val="9"/>
    <w:rsid w:val="003C15F7"/>
    <w:rPr>
      <w:rFonts w:ascii="Times New Roman" w:eastAsiaTheme="majorEastAsia" w:hAnsi="Times New Roman" w:cstheme="majorBidi"/>
      <w:b/>
      <w:color w:val="000000" w:themeColor="text1"/>
      <w:szCs w:val="26"/>
    </w:rPr>
  </w:style>
  <w:style w:type="character" w:styleId="Hyperlink">
    <w:name w:val="Hyperlink"/>
    <w:basedOn w:val="DefaultParagraphFont"/>
    <w:uiPriority w:val="99"/>
    <w:unhideWhenUsed/>
    <w:rsid w:val="00E44A40"/>
    <w:rPr>
      <w:color w:val="0563C1" w:themeColor="hyperlink"/>
      <w:u w:val="single"/>
    </w:rPr>
  </w:style>
  <w:style w:type="character" w:styleId="Strong">
    <w:name w:val="Strong"/>
    <w:basedOn w:val="DefaultParagraphFont"/>
    <w:uiPriority w:val="22"/>
    <w:qFormat/>
    <w:rsid w:val="00687F8B"/>
    <w:rPr>
      <w:b/>
      <w:bCs/>
    </w:rPr>
  </w:style>
  <w:style w:type="character" w:styleId="Emphasis">
    <w:name w:val="Emphasis"/>
    <w:basedOn w:val="DefaultParagraphFont"/>
    <w:uiPriority w:val="20"/>
    <w:qFormat/>
    <w:rsid w:val="00687F8B"/>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2774267">
      <w:bodyDiv w:val="1"/>
      <w:marLeft w:val="0"/>
      <w:marRight w:val="0"/>
      <w:marTop w:val="0"/>
      <w:marBottom w:val="0"/>
      <w:divBdr>
        <w:top w:val="none" w:sz="0" w:space="0" w:color="auto"/>
        <w:left w:val="none" w:sz="0" w:space="0" w:color="auto"/>
        <w:bottom w:val="none" w:sz="0" w:space="0" w:color="auto"/>
        <w:right w:val="none" w:sz="0" w:space="0" w:color="auto"/>
      </w:divBdr>
    </w:div>
    <w:div w:id="493035154">
      <w:bodyDiv w:val="1"/>
      <w:marLeft w:val="0"/>
      <w:marRight w:val="0"/>
      <w:marTop w:val="0"/>
      <w:marBottom w:val="0"/>
      <w:divBdr>
        <w:top w:val="none" w:sz="0" w:space="0" w:color="auto"/>
        <w:left w:val="none" w:sz="0" w:space="0" w:color="auto"/>
        <w:bottom w:val="none" w:sz="0" w:space="0" w:color="auto"/>
        <w:right w:val="none" w:sz="0" w:space="0" w:color="auto"/>
      </w:divBdr>
    </w:div>
    <w:div w:id="667901169">
      <w:bodyDiv w:val="1"/>
      <w:marLeft w:val="0"/>
      <w:marRight w:val="0"/>
      <w:marTop w:val="0"/>
      <w:marBottom w:val="0"/>
      <w:divBdr>
        <w:top w:val="none" w:sz="0" w:space="0" w:color="auto"/>
        <w:left w:val="none" w:sz="0" w:space="0" w:color="auto"/>
        <w:bottom w:val="none" w:sz="0" w:space="0" w:color="auto"/>
        <w:right w:val="none" w:sz="0" w:space="0" w:color="auto"/>
      </w:divBdr>
    </w:div>
    <w:div w:id="894782038">
      <w:bodyDiv w:val="1"/>
      <w:marLeft w:val="0"/>
      <w:marRight w:val="0"/>
      <w:marTop w:val="0"/>
      <w:marBottom w:val="0"/>
      <w:divBdr>
        <w:top w:val="none" w:sz="0" w:space="0" w:color="auto"/>
        <w:left w:val="none" w:sz="0" w:space="0" w:color="auto"/>
        <w:bottom w:val="none" w:sz="0" w:space="0" w:color="auto"/>
        <w:right w:val="none" w:sz="0" w:space="0" w:color="auto"/>
      </w:divBdr>
    </w:div>
    <w:div w:id="1415590326">
      <w:bodyDiv w:val="1"/>
      <w:marLeft w:val="0"/>
      <w:marRight w:val="0"/>
      <w:marTop w:val="0"/>
      <w:marBottom w:val="0"/>
      <w:divBdr>
        <w:top w:val="none" w:sz="0" w:space="0" w:color="auto"/>
        <w:left w:val="none" w:sz="0" w:space="0" w:color="auto"/>
        <w:bottom w:val="none" w:sz="0" w:space="0" w:color="auto"/>
        <w:right w:val="none" w:sz="0" w:space="0" w:color="auto"/>
      </w:divBdr>
    </w:div>
    <w:div w:id="1953433814">
      <w:bodyDiv w:val="1"/>
      <w:marLeft w:val="0"/>
      <w:marRight w:val="0"/>
      <w:marTop w:val="0"/>
      <w:marBottom w:val="0"/>
      <w:divBdr>
        <w:top w:val="none" w:sz="0" w:space="0" w:color="auto"/>
        <w:left w:val="none" w:sz="0" w:space="0" w:color="auto"/>
        <w:bottom w:val="none" w:sz="0" w:space="0" w:color="auto"/>
        <w:right w:val="none" w:sz="0" w:space="0" w:color="auto"/>
      </w:divBdr>
      <w:divsChild>
        <w:div w:id="491022515">
          <w:marLeft w:val="0"/>
          <w:marRight w:val="0"/>
          <w:marTop w:val="0"/>
          <w:marBottom w:val="0"/>
          <w:divBdr>
            <w:top w:val="none" w:sz="0" w:space="0" w:color="auto"/>
            <w:left w:val="none" w:sz="0" w:space="0" w:color="auto"/>
            <w:bottom w:val="none" w:sz="0" w:space="0" w:color="auto"/>
            <w:right w:val="none" w:sz="0" w:space="0" w:color="auto"/>
          </w:divBdr>
          <w:divsChild>
            <w:div w:id="1889948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12689</Words>
  <Characters>72328</Characters>
  <Application>Microsoft Office Word</Application>
  <DocSecurity>0</DocSecurity>
  <Lines>602</Lines>
  <Paragraphs>169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84848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c:creator>
  <cp:keywords/>
  <dc:description/>
  <cp:lastModifiedBy>LENOVO</cp:lastModifiedBy>
  <cp:revision>2</cp:revision>
  <cp:lastPrinted>2025-07-18T02:41:00Z</cp:lastPrinted>
  <dcterms:created xsi:type="dcterms:W3CDTF">2025-07-18T02:45:00Z</dcterms:created>
  <dcterms:modified xsi:type="dcterms:W3CDTF">2025-07-18T02:45:00Z</dcterms:modified>
</cp:coreProperties>
</file>